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6" w:type="dxa"/>
        <w:tblInd w:w="-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8106"/>
      </w:tblGrid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r>
              <w:rPr>
                <w:noProof/>
              </w:rPr>
              <w:drawing>
                <wp:inline distT="0" distB="0" distL="0" distR="0">
                  <wp:extent cx="800100" cy="971550"/>
                  <wp:effectExtent l="0" t="0" r="0" b="0"/>
                  <wp:docPr id="1" name="photo" descr="Photo d'identi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/>
            </w:pPr>
            <w:r>
              <w:rPr>
                <w:b/>
                <w:bCs/>
                <w:color w:val="0E4194"/>
                <w:sz w:val="40"/>
                <w:szCs w:val="40"/>
              </w:rPr>
              <w:t>Alaeddine Ben Jomaa</w:t>
            </w:r>
          </w:p>
          <w:p w:rsidR="009D5B81" w:rsidRDefault="00476CBD">
            <w:pPr>
              <w:spacing w:after="80"/>
            </w:pPr>
            <w:r>
              <w:rPr>
                <w:b/>
                <w:bCs/>
                <w:sz w:val="22"/>
                <w:szCs w:val="22"/>
              </w:rPr>
              <w:t>Ingénieur civil – Gestion de projets de construction, logement</w:t>
            </w:r>
            <w:r w:rsidR="00C12539">
              <w:rPr>
                <w:b/>
                <w:bCs/>
                <w:sz w:val="22"/>
                <w:szCs w:val="22"/>
              </w:rPr>
              <w:t>s sociaux</w:t>
            </w:r>
            <w:r>
              <w:rPr>
                <w:b/>
                <w:bCs/>
                <w:sz w:val="22"/>
                <w:szCs w:val="22"/>
              </w:rPr>
              <w:t xml:space="preserve"> et marchés publics</w:t>
            </w:r>
          </w:p>
          <w:p w:rsidR="009D5B81" w:rsidRDefault="00476CBD">
            <w:pPr>
              <w:spacing w:after="20"/>
            </w:pPr>
            <w:r>
              <w:rPr>
                <w:b/>
                <w:bCs/>
                <w:color w:val="0E4194"/>
              </w:rPr>
              <w:t xml:space="preserve">Adresse : </w:t>
            </w:r>
            <w:r>
              <w:t>Sahloul, Sousse (Tunisie)</w:t>
            </w:r>
          </w:p>
          <w:p w:rsidR="009D5B81" w:rsidRDefault="00476CBD">
            <w:pPr>
              <w:spacing w:after="20"/>
            </w:pPr>
            <w:r>
              <w:rPr>
                <w:b/>
                <w:bCs/>
                <w:color w:val="0E4194"/>
              </w:rPr>
              <w:t xml:space="preserve">Téléphone : </w:t>
            </w:r>
            <w:r>
              <w:t>+216 98 277 318</w:t>
            </w:r>
          </w:p>
          <w:p w:rsidR="009D5B81" w:rsidRDefault="00476CBD">
            <w:pPr>
              <w:spacing w:after="20"/>
            </w:pPr>
            <w:r>
              <w:rPr>
                <w:b/>
                <w:bCs/>
                <w:color w:val="0E4194"/>
              </w:rPr>
              <w:t xml:space="preserve">E-mail : </w:t>
            </w:r>
            <w:r>
              <w:t>a.benjomaa@gmail.com</w:t>
            </w:r>
          </w:p>
          <w:p w:rsidR="009D5B81" w:rsidRDefault="00476CBD">
            <w:pPr>
              <w:spacing w:after="20"/>
            </w:pPr>
            <w:r>
              <w:rPr>
                <w:b/>
                <w:bCs/>
                <w:color w:val="0E4194"/>
              </w:rPr>
              <w:t xml:space="preserve">LinkedIn : </w:t>
            </w:r>
            <w:r>
              <w:t>www.linkedin.com/in/ala-eddine-ben-jomaa-34692026</w:t>
            </w:r>
          </w:p>
          <w:p w:rsidR="009D5B81" w:rsidRDefault="00476CBD">
            <w:pPr>
              <w:spacing w:after="20"/>
            </w:pPr>
            <w:r>
              <w:rPr>
                <w:b/>
                <w:bCs/>
                <w:color w:val="0E4194"/>
              </w:rPr>
              <w:t xml:space="preserve">Nationalité : </w:t>
            </w:r>
            <w:r>
              <w:t>Tunisienne</w:t>
            </w:r>
          </w:p>
        </w:tc>
      </w:tr>
    </w:tbl>
    <w:p w:rsidR="009D5B81" w:rsidRDefault="00476CBD">
      <w:pPr>
        <w:keepNext/>
        <w:pBdr>
          <w:bottom w:val="single" w:sz="8" w:space="2" w:color="0E4194"/>
        </w:pBdr>
        <w:spacing w:before="170" w:after="80"/>
      </w:pPr>
      <w:r>
        <w:rPr>
          <w:b/>
          <w:bCs/>
          <w:color w:val="0E4194"/>
          <w:sz w:val="21"/>
          <w:szCs w:val="21"/>
        </w:rPr>
        <w:t>PROFIL PROFESSIONNEL</w:t>
      </w:r>
    </w:p>
    <w:p w:rsidR="009D5B81" w:rsidRDefault="00476CBD">
      <w:pPr>
        <w:spacing w:after="60" w:line="252" w:lineRule="auto"/>
      </w:pPr>
      <w:r>
        <w:t>Ingénieur civil diplômé de l’ENIG, avec plus de 17 ans d’expérience en gestion de projets de construction, en logement social et en passation et suivi de marchés publics. Habitué à coordonner de nombreux intervenants : ministères, autorités locales, bureau</w:t>
      </w:r>
      <w:r>
        <w:t>x d’études, bureaux de contrôle et entreprises.</w:t>
      </w:r>
    </w:p>
    <w:p w:rsidR="009D5B81" w:rsidRDefault="00476CBD">
      <w:pPr>
        <w:pStyle w:val="Paragraphedeliste"/>
        <w:numPr>
          <w:ilvl w:val="0"/>
          <w:numId w:val="2"/>
        </w:numPr>
        <w:spacing w:after="30" w:line="252" w:lineRule="auto"/>
      </w:pPr>
      <w:r>
        <w:rPr>
          <w:b/>
          <w:bCs/>
        </w:rPr>
        <w:t>Résultats :</w:t>
      </w:r>
      <w:r>
        <w:t xml:space="preserve"> plus de 400 logements livrés, dont des logements sociaux du programme du Ministère de l’Équipement.</w:t>
      </w:r>
    </w:p>
    <w:p w:rsidR="009D5B81" w:rsidRDefault="00476CBD">
      <w:pPr>
        <w:pStyle w:val="Paragraphedeliste"/>
        <w:numPr>
          <w:ilvl w:val="0"/>
          <w:numId w:val="2"/>
        </w:numPr>
        <w:spacing w:after="30" w:line="252" w:lineRule="auto"/>
      </w:pPr>
      <w:r>
        <w:rPr>
          <w:b/>
          <w:bCs/>
        </w:rPr>
        <w:t>Responsabilités :</w:t>
      </w:r>
      <w:r>
        <w:t xml:space="preserve"> budget annuel de plus de 8 millions de dinars tunisiens ; équipe de plus de 15</w:t>
      </w:r>
      <w:r>
        <w:t xml:space="preserve"> techniciens supérieurs et ingénieurs.</w:t>
      </w:r>
    </w:p>
    <w:p w:rsidR="009D5B81" w:rsidRDefault="00476CBD">
      <w:pPr>
        <w:pStyle w:val="Paragraphedeliste"/>
        <w:numPr>
          <w:ilvl w:val="0"/>
          <w:numId w:val="2"/>
        </w:numPr>
        <w:spacing w:after="30" w:line="252" w:lineRule="auto"/>
      </w:pPr>
      <w:r>
        <w:rPr>
          <w:b/>
          <w:bCs/>
        </w:rPr>
        <w:t>Contexte international :</w:t>
      </w:r>
      <w:r>
        <w:t xml:space="preserve"> coordination avec des bailleurs de fonds internationaux ; missions pour des clients internationaux (ENI, Pioneer) et expérience de travail en Libye.</w:t>
      </w:r>
    </w:p>
    <w:p w:rsidR="009D5B81" w:rsidRDefault="00476CBD">
      <w:pPr>
        <w:pStyle w:val="Paragraphedeliste"/>
        <w:numPr>
          <w:ilvl w:val="0"/>
          <w:numId w:val="2"/>
        </w:numPr>
        <w:spacing w:after="30" w:line="252" w:lineRule="auto"/>
      </w:pPr>
      <w:r>
        <w:rPr>
          <w:b/>
          <w:bCs/>
        </w:rPr>
        <w:t>Mobilité :</w:t>
      </w:r>
      <w:r>
        <w:t xml:space="preserve"> disponible pour des missions de </w:t>
      </w:r>
      <w:r>
        <w:t>longue durée en Afrique.</w:t>
      </w:r>
    </w:p>
    <w:p w:rsidR="009D5B81" w:rsidRDefault="00476CBD">
      <w:pPr>
        <w:keepNext/>
        <w:pBdr>
          <w:bottom w:val="single" w:sz="8" w:space="2" w:color="0E4194"/>
        </w:pBdr>
        <w:spacing w:before="170" w:after="80"/>
      </w:pPr>
      <w:r>
        <w:rPr>
          <w:b/>
          <w:bCs/>
          <w:color w:val="0E4194"/>
          <w:sz w:val="21"/>
          <w:szCs w:val="21"/>
        </w:rPr>
        <w:t>EXPÉRIENCE PROFESSIONNELLE</w:t>
      </w:r>
    </w:p>
    <w:tbl>
      <w:tblPr>
        <w:tblW w:w="10106" w:type="dxa"/>
        <w:tblInd w:w="-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8106"/>
      </w:tblGrid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03/2012 – présent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keepNext/>
              <w:spacing w:after="20"/>
            </w:pPr>
            <w:r>
              <w:rPr>
                <w:color w:val="0E4194"/>
                <w:sz w:val="22"/>
                <w:szCs w:val="22"/>
              </w:rPr>
              <w:t>Chef de service technique – Chef de projets bâtiments</w:t>
            </w:r>
          </w:p>
          <w:p w:rsidR="009D5B81" w:rsidRDefault="00476CBD">
            <w:pPr>
              <w:keepNext/>
              <w:spacing w:after="40"/>
            </w:pPr>
            <w:r>
              <w:rPr>
                <w:i/>
                <w:iCs/>
                <w:color w:val="595959"/>
              </w:rPr>
              <w:t>Société Nationale Immobilière de Tunisie (SNIT) – Centre, Sousse (Tunisie)</w:t>
            </w:r>
          </w:p>
          <w:p w:rsidR="009D5B81" w:rsidRDefault="00476CBD">
            <w:pPr>
              <w:keepNext/>
              <w:spacing w:before="80" w:after="30"/>
            </w:pPr>
            <w:r>
              <w:rPr>
                <w:b/>
                <w:bCs/>
                <w:color w:val="0E4194"/>
              </w:rPr>
              <w:t>Direction de projets et contrôle des travaux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Pilotage multi-projets :</w:t>
            </w:r>
            <w:r>
              <w:t xml:space="preserve"> pilotage annuel de plusieurs chantiers simultanés : planification, allocation des ressources, suivi de l’avancement.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Encadrement et reporting :</w:t>
            </w:r>
            <w:r>
              <w:t xml:space="preserve"> supervision de l’équipe, animation des réunions de coordination, rapports techniques et</w:t>
            </w:r>
            <w:r>
              <w:t xml:space="preserve"> financiers mensuels.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Contrôle qualité :</w:t>
            </w:r>
            <w:r>
              <w:t xml:space="preserve"> contrôle de la qualité (béton, ferraillage, étanchéité, finitions) et de la conformité aux plans et aux normes ; réceptions provisoires et définitives, levée des réserves.</w:t>
            </w:r>
          </w:p>
          <w:p w:rsidR="009D5B81" w:rsidRDefault="00476CBD">
            <w:pPr>
              <w:keepNext/>
              <w:spacing w:before="80" w:after="30"/>
            </w:pPr>
            <w:r>
              <w:rPr>
                <w:b/>
                <w:bCs/>
                <w:color w:val="0E4194"/>
              </w:rPr>
              <w:t>Marchés publics et gestion financière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Passa</w:t>
            </w:r>
            <w:r>
              <w:rPr>
                <w:b/>
                <w:bCs/>
              </w:rPr>
              <w:t>tion des marchés :</w:t>
            </w:r>
            <w:r>
              <w:t xml:space="preserve"> rédaction des cahiers des charges, lancement des appels d’offres, ouverture et évaluation des plis, gestion des contrats (études, contrôle, travaux).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Gestion financière :</w:t>
            </w:r>
            <w:r>
              <w:t xml:space="preserve"> validation des décomptes, suivi des paiements, avenants, règlement des marchés, révision des prix, budget annuel de plus de 8 M TND.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Analyse technique et économique :</w:t>
            </w:r>
            <w:r>
              <w:t xml:space="preserve"> études de faisabilité, chiffrage quantitatif, optimisation des coûts, analyse du prix de</w:t>
            </w:r>
            <w:r>
              <w:t xml:space="preserve"> revient.</w:t>
            </w:r>
          </w:p>
          <w:p w:rsidR="009D5B81" w:rsidRDefault="00476CBD">
            <w:pPr>
              <w:keepNext/>
              <w:spacing w:before="80" w:after="30"/>
            </w:pPr>
            <w:r>
              <w:rPr>
                <w:b/>
                <w:bCs/>
                <w:color w:val="0E4194"/>
              </w:rPr>
              <w:t>Programme Spécifique des Logements Sociaux (depuis 07/2019)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Référent régional : coordination technique et administrative avec l’unité centrale du programme au Ministère de l’Équipement.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Mise à jour des conventions, élaboration des avenants, suivi</w:t>
            </w:r>
            <w:r>
              <w:t xml:space="preserve"> des délais, remise des logements aux bénéficiaires avec les autorités locales.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Livraisons :</w:t>
            </w:r>
            <w:r>
              <w:t xml:space="preserve"> Mahdia 2021 : 21 logements sociaux ; Monastir 2023 : 63 appartements et 11 logements sociaux ; Kasserine 2024 : 106 logements sociaux.</w:t>
            </w:r>
          </w:p>
          <w:p w:rsidR="009D5B81" w:rsidRDefault="00476CBD">
            <w:pPr>
              <w:keepNext/>
              <w:spacing w:before="80" w:after="30"/>
            </w:pPr>
            <w:r>
              <w:rPr>
                <w:b/>
                <w:bCs/>
                <w:color w:val="0E4194"/>
              </w:rPr>
              <w:t>Projets de référence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Résiden</w:t>
            </w:r>
            <w:r>
              <w:t>ces Diamant Beach (Hergla, 2013), Les Jardins (72 appartements, 2015), Ons (35 appartements, 2017) et Zitouna 1 (30 appartements, 2019).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Bouficha : 37 logements économiques (2022) ; Ksar Hellel, Monastir : 24 logements sociaux et 9 logements économiques (2</w:t>
            </w:r>
            <w:r>
              <w:t>023).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En cours d’appel d’offres : résidences Ruspina (Monastir, 6 M TND), Morjen 2 (Hergla, 12 M TND) et Zitouna 2 (Sahloul, 7 M TND).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06/2011 – 12/2011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keepNext/>
              <w:spacing w:after="20"/>
            </w:pPr>
            <w:r>
              <w:rPr>
                <w:color w:val="0E4194"/>
                <w:sz w:val="22"/>
                <w:szCs w:val="22"/>
              </w:rPr>
              <w:t>Chef de projets – Construction résidentielle</w:t>
            </w:r>
          </w:p>
          <w:p w:rsidR="009D5B81" w:rsidRDefault="00476CBD">
            <w:pPr>
              <w:keepNext/>
              <w:spacing w:after="40"/>
            </w:pPr>
            <w:r>
              <w:rPr>
                <w:i/>
                <w:iCs/>
                <w:color w:val="595959"/>
              </w:rPr>
              <w:t>COGEB Immobilière, Sousse (Tunisie)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Pilotage de plusieurs chantiers en parallèle, du gros œuvre à la finition : résidences El Mehdi (Monastir) et El Hamd (Sahloul), mosquée de Sousse.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Coordination des sous-traitants et fournisseurs ; suivi de la qualité, des délais et du budget.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lastRenderedPageBreak/>
              <w:t>12/2010 – 0</w:t>
            </w:r>
            <w:r>
              <w:rPr>
                <w:color w:val="0E4194"/>
                <w:sz w:val="18"/>
                <w:szCs w:val="18"/>
              </w:rPr>
              <w:t>3/2011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keepNext/>
              <w:spacing w:after="20"/>
            </w:pPr>
            <w:r>
              <w:rPr>
                <w:color w:val="0E4194"/>
                <w:sz w:val="22"/>
                <w:szCs w:val="22"/>
              </w:rPr>
              <w:t>Ingénieur de travaux</w:t>
            </w:r>
          </w:p>
          <w:p w:rsidR="009D5B81" w:rsidRDefault="00476CBD">
            <w:pPr>
              <w:keepNext/>
              <w:spacing w:after="40"/>
            </w:pPr>
            <w:r>
              <w:rPr>
                <w:i/>
                <w:iCs/>
                <w:color w:val="595959"/>
              </w:rPr>
              <w:t>EMBC, Benghazi (Libye)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Projet de 200 logements sociaux préfabriqués : suivi des plans d’exécution, chiffrage des quantités, planification et coordination des sous-traitants, validation des attachements et des décomptes.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Contrat interrompu en raison de la guerre en Libye.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08/2008 – 11/2010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keepNext/>
              <w:spacing w:after="20"/>
            </w:pPr>
            <w:r>
              <w:rPr>
                <w:color w:val="0E4194"/>
                <w:sz w:val="22"/>
                <w:szCs w:val="22"/>
              </w:rPr>
              <w:t>Ingénieur d’études et de suivi des travaux – projets pétroliers</w:t>
            </w:r>
          </w:p>
          <w:p w:rsidR="009D5B81" w:rsidRDefault="00476CBD">
            <w:pPr>
              <w:keepNext/>
              <w:spacing w:after="40"/>
            </w:pPr>
            <w:r>
              <w:rPr>
                <w:i/>
                <w:iCs/>
                <w:color w:val="595959"/>
              </w:rPr>
              <w:t>Alpha Engineering International, Tunisie (clients : ENI Tunisia, Pioneer Tunisia)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Calcul et dimensionnement de fondations</w:t>
            </w:r>
            <w:r>
              <w:t>, charpentes métalliques, supportages de tuyauteries, pistes et drainage sur des sites industriels du Sahara tunisien (WAHA, Oued Zar, Djebel Grouz).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Contrôle technique du projet Baraka–Maamoura (ENI) : vérification des calculs de structures, de fondations</w:t>
            </w:r>
            <w:r>
              <w:t xml:space="preserve"> et de réservoirs.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Supervision des travaux sur chantier et coordination avec les équipes géotechnique, topographie, mécanique, électricité et process.</w:t>
            </w:r>
          </w:p>
        </w:tc>
      </w:tr>
    </w:tbl>
    <w:p w:rsidR="009D5B81" w:rsidRDefault="00476CBD">
      <w:pPr>
        <w:keepNext/>
        <w:pBdr>
          <w:bottom w:val="single" w:sz="8" w:space="2" w:color="0E4194"/>
        </w:pBdr>
        <w:spacing w:before="170" w:after="80"/>
      </w:pPr>
      <w:r>
        <w:rPr>
          <w:b/>
          <w:bCs/>
          <w:color w:val="0E4194"/>
          <w:sz w:val="21"/>
          <w:szCs w:val="21"/>
        </w:rPr>
        <w:t>ÉDUCATION ET FORMATION</w:t>
      </w:r>
    </w:p>
    <w:tbl>
      <w:tblPr>
        <w:tblW w:w="10106" w:type="dxa"/>
        <w:tblInd w:w="-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8106"/>
      </w:tblGrid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09/2002 – 07/2008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keepNext/>
              <w:spacing w:after="20"/>
            </w:pPr>
            <w:r>
              <w:rPr>
                <w:color w:val="0E4194"/>
                <w:sz w:val="22"/>
                <w:szCs w:val="22"/>
              </w:rPr>
              <w:t>Diplôme national d’ingénieur en génie civil</w:t>
            </w:r>
          </w:p>
          <w:p w:rsidR="009D5B81" w:rsidRDefault="00476CBD">
            <w:pPr>
              <w:keepNext/>
              <w:spacing w:after="40"/>
            </w:pPr>
            <w:r>
              <w:rPr>
                <w:i/>
                <w:iCs/>
                <w:color w:val="595959"/>
              </w:rPr>
              <w:t>École Nationale d’Ingénieurs de Gabès (ENIG), Tunisie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2016 – 2023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keepNext/>
              <w:spacing w:after="20"/>
            </w:pPr>
            <w:r>
              <w:rPr>
                <w:color w:val="0E4194"/>
                <w:sz w:val="22"/>
                <w:szCs w:val="22"/>
              </w:rPr>
              <w:t>Formations continues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Règles des marchés publics (09/2016) ; règlements définitifs des marchés publics (10/2022).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Révision des prix d’un marché de construction (09/2022) ; règlements de sécurité incendie dans les bâtiments (11/2023).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Communication et cohésion d’équipe (11/2019).</w:t>
            </w:r>
          </w:p>
        </w:tc>
      </w:tr>
    </w:tbl>
    <w:p w:rsidR="009D5B81" w:rsidRDefault="00476CBD">
      <w:pPr>
        <w:keepNext/>
        <w:pBdr>
          <w:bottom w:val="single" w:sz="8" w:space="2" w:color="0E4194"/>
        </w:pBdr>
        <w:spacing w:before="170" w:after="80"/>
      </w:pPr>
      <w:r>
        <w:rPr>
          <w:b/>
          <w:bCs/>
          <w:color w:val="0E4194"/>
          <w:sz w:val="21"/>
          <w:szCs w:val="21"/>
        </w:rPr>
        <w:t>COMPÉTENCES PERSONNELLES</w:t>
      </w:r>
    </w:p>
    <w:tbl>
      <w:tblPr>
        <w:tblW w:w="10106" w:type="dxa"/>
        <w:tblInd w:w="-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1890"/>
        <w:gridCol w:w="8216"/>
      </w:tblGrid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Langue maternelle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t>Arabe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Autres langues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tbl>
            <w:tblPr>
              <w:tblW w:w="8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1700"/>
              <w:gridCol w:w="1600"/>
              <w:gridCol w:w="1600"/>
              <w:gridCol w:w="1600"/>
              <w:gridCol w:w="1606"/>
            </w:tblGrid>
            <w:tr w:rsidR="009D5B81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17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shd w:val="clear" w:color="auto" w:fill="E8EEF8"/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color w:val="0E4194"/>
                      <w:sz w:val="17"/>
                      <w:szCs w:val="17"/>
                    </w:rPr>
                    <w:t>Langue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shd w:val="clear" w:color="auto" w:fill="E8EEF8"/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color w:val="0E4194"/>
                      <w:sz w:val="17"/>
                      <w:szCs w:val="17"/>
                    </w:rPr>
                    <w:t>Compréhension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shd w:val="clear" w:color="auto" w:fill="E8EEF8"/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color w:val="0E4194"/>
                      <w:sz w:val="17"/>
                      <w:szCs w:val="17"/>
                    </w:rPr>
                    <w:t>Expression orale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shd w:val="clear" w:color="auto" w:fill="E8EEF8"/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color w:val="0E4194"/>
                      <w:sz w:val="17"/>
                      <w:szCs w:val="17"/>
                    </w:rPr>
                    <w:t>Interaction orale</w:t>
                  </w:r>
                </w:p>
              </w:tc>
              <w:tc>
                <w:tcPr>
                  <w:tcW w:w="1606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shd w:val="clear" w:color="auto" w:fill="E8EEF8"/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color w:val="0E4194"/>
                      <w:sz w:val="17"/>
                      <w:szCs w:val="17"/>
                    </w:rPr>
                    <w:t>Écriture</w:t>
                  </w:r>
                </w:p>
              </w:tc>
            </w:tr>
            <w:tr w:rsidR="009D5B8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Français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B2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B2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B2</w:t>
                  </w:r>
                </w:p>
              </w:tc>
              <w:tc>
                <w:tcPr>
                  <w:tcW w:w="1606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B2</w:t>
                  </w:r>
                </w:p>
              </w:tc>
            </w:tr>
            <w:tr w:rsidR="009D5B8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Anglais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A2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A2</w:t>
                  </w:r>
                </w:p>
              </w:tc>
              <w:tc>
                <w:tcPr>
                  <w:tcW w:w="1600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A2</w:t>
                  </w:r>
                </w:p>
              </w:tc>
              <w:tc>
                <w:tcPr>
                  <w:tcW w:w="1606" w:type="dxa"/>
                  <w:tcBorders>
                    <w:top w:val="single" w:sz="4" w:space="0" w:color="9DB3D9"/>
                    <w:left w:val="single" w:sz="4" w:space="0" w:color="9DB3D9"/>
                    <w:bottom w:val="single" w:sz="4" w:space="0" w:color="9DB3D9"/>
                    <w:right w:val="single" w:sz="4" w:space="0" w:color="9DB3D9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  <w:vAlign w:val="center"/>
                </w:tcPr>
                <w:p w:rsidR="009D5B81" w:rsidRDefault="00476CBD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A2</w:t>
                  </w:r>
                </w:p>
              </w:tc>
            </w:tr>
          </w:tbl>
          <w:p w:rsidR="009D5B81" w:rsidRDefault="009D5B81">
            <w:pPr>
              <w:spacing w:before="40"/>
            </w:pPr>
          </w:p>
        </w:tc>
      </w:tr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Gestion de projet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Direction de projets de construction multi-lots et multi-sites ; planification et suivi d’avancement (MS Project).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Gestion budgétaire, contrôle des coûts, gestion contractuelle et marchés publics.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Reporting technique et financier ; coordination avec minist</w:t>
            </w:r>
            <w:r>
              <w:t>ères, autorités locales et bailleurs de fonds.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Compétences techniques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Conception et suivi de structures en béton armé et en charpente métallique ; sécurité incendie (habitation et ERP).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Normes et règlements de conception des bâtiments et des structures.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Compétences humaines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Leadership d’équipes de terrain et d’équipes pluridisciplinaires, management horizontal.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Négociation, animation de réunions, communication avec des parties prenantes variées.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Rigueur, esprit d’analyse, travail sous pression, respect des délais et des budgets.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Compétences numériques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MS Project, Autodesk Robot Structural Analysis, Arche (Graitec), AutoCAD.</w:t>
            </w:r>
          </w:p>
          <w:p w:rsidR="009D5B81" w:rsidRDefault="00476CBD">
            <w:pPr>
              <w:pStyle w:val="Paragraphedeliste"/>
              <w:numPr>
                <w:ilvl w:val="0"/>
                <w:numId w:val="2"/>
              </w:numPr>
              <w:spacing w:after="30" w:line="252" w:lineRule="auto"/>
            </w:pPr>
            <w:r>
              <w:t>Microsoft Office (Word, Excel, PowerPoint, Outlook).</w:t>
            </w:r>
          </w:p>
        </w:tc>
      </w:tr>
      <w:tr w:rsidR="009D5B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rPr>
                <w:color w:val="0E4194"/>
                <w:sz w:val="18"/>
                <w:szCs w:val="18"/>
              </w:rPr>
              <w:t>Permis de conduire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00" w:type="dxa"/>
            </w:tcMar>
          </w:tcPr>
          <w:p w:rsidR="009D5B81" w:rsidRDefault="00476CBD">
            <w:pPr>
              <w:spacing w:after="40" w:line="252" w:lineRule="auto"/>
            </w:pPr>
            <w:r>
              <w:t>Catégorie B (depuis 06/2001)</w:t>
            </w:r>
          </w:p>
        </w:tc>
      </w:tr>
    </w:tbl>
    <w:p w:rsidR="00476CBD" w:rsidRDefault="00476CBD"/>
    <w:sectPr w:rsidR="00476CBD" w:rsidSect="009D5B81">
      <w:footerReference w:type="default" r:id="rId8"/>
      <w:pgSz w:w="11906" w:h="16838"/>
      <w:pgMar w:top="650" w:right="900" w:bottom="700" w:left="9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CBD" w:rsidRDefault="00476CBD" w:rsidP="009D5B81">
      <w:r>
        <w:separator/>
      </w:r>
    </w:p>
  </w:endnote>
  <w:endnote w:type="continuationSeparator" w:id="0">
    <w:p w:rsidR="00476CBD" w:rsidRDefault="00476CBD" w:rsidP="009D5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81" w:rsidRDefault="00476CBD">
    <w:pPr>
      <w:jc w:val="right"/>
    </w:pPr>
    <w:r>
      <w:rPr>
        <w:color w:val="595959"/>
        <w:sz w:val="15"/>
        <w:szCs w:val="15"/>
      </w:rPr>
      <w:t xml:space="preserve">Alaeddine Ben Jomaa – Page </w:t>
    </w:r>
    <w:r w:rsidR="009D5B81"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 w:rsidR="00C12539">
      <w:rPr>
        <w:color w:val="595959"/>
        <w:sz w:val="15"/>
        <w:szCs w:val="15"/>
      </w:rPr>
      <w:fldChar w:fldCharType="separate"/>
    </w:r>
    <w:r w:rsidR="00C12539">
      <w:rPr>
        <w:noProof/>
        <w:color w:val="595959"/>
        <w:sz w:val="15"/>
        <w:szCs w:val="15"/>
      </w:rPr>
      <w:t>2</w:t>
    </w:r>
    <w:r w:rsidR="009D5B81"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/ </w:t>
    </w:r>
    <w:r w:rsidR="009D5B81"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 w:rsidR="00C12539">
      <w:rPr>
        <w:color w:val="595959"/>
        <w:sz w:val="15"/>
        <w:szCs w:val="15"/>
      </w:rPr>
      <w:fldChar w:fldCharType="separate"/>
    </w:r>
    <w:r w:rsidR="00C12539">
      <w:rPr>
        <w:noProof/>
        <w:color w:val="595959"/>
        <w:sz w:val="15"/>
        <w:szCs w:val="15"/>
      </w:rPr>
      <w:t>2</w:t>
    </w:r>
    <w:r w:rsidR="009D5B81"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CBD" w:rsidRDefault="00476CBD" w:rsidP="009D5B81">
      <w:r>
        <w:separator/>
      </w:r>
    </w:p>
  </w:footnote>
  <w:footnote w:type="continuationSeparator" w:id="0">
    <w:p w:rsidR="00476CBD" w:rsidRDefault="00476CBD" w:rsidP="009D5B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F1F1C"/>
    <w:multiLevelType w:val="hybridMultilevel"/>
    <w:tmpl w:val="64B886E0"/>
    <w:lvl w:ilvl="0" w:tplc="A5F2A4B4">
      <w:start w:val="1"/>
      <w:numFmt w:val="bullet"/>
      <w:lvlText w:val="•"/>
      <w:lvlJc w:val="left"/>
      <w:pPr>
        <w:ind w:left="300" w:hanging="220"/>
      </w:pPr>
      <w:rPr>
        <w:color w:val="0E4194"/>
      </w:rPr>
    </w:lvl>
    <w:lvl w:ilvl="1" w:tplc="05DE54FA">
      <w:numFmt w:val="decimal"/>
      <w:lvlText w:val=""/>
      <w:lvlJc w:val="left"/>
    </w:lvl>
    <w:lvl w:ilvl="2" w:tplc="68781D34">
      <w:numFmt w:val="decimal"/>
      <w:lvlText w:val=""/>
      <w:lvlJc w:val="left"/>
    </w:lvl>
    <w:lvl w:ilvl="3" w:tplc="99806BEC">
      <w:numFmt w:val="decimal"/>
      <w:lvlText w:val=""/>
      <w:lvlJc w:val="left"/>
    </w:lvl>
    <w:lvl w:ilvl="4" w:tplc="BAFA9542">
      <w:numFmt w:val="decimal"/>
      <w:lvlText w:val=""/>
      <w:lvlJc w:val="left"/>
    </w:lvl>
    <w:lvl w:ilvl="5" w:tplc="B4467A48">
      <w:numFmt w:val="decimal"/>
      <w:lvlText w:val=""/>
      <w:lvlJc w:val="left"/>
    </w:lvl>
    <w:lvl w:ilvl="6" w:tplc="7A9C489C">
      <w:numFmt w:val="decimal"/>
      <w:lvlText w:val=""/>
      <w:lvlJc w:val="left"/>
    </w:lvl>
    <w:lvl w:ilvl="7" w:tplc="06FAE0FA">
      <w:numFmt w:val="decimal"/>
      <w:lvlText w:val=""/>
      <w:lvlJc w:val="left"/>
    </w:lvl>
    <w:lvl w:ilvl="8" w:tplc="99249E6E">
      <w:numFmt w:val="decimal"/>
      <w:lvlText w:val=""/>
      <w:lvlJc w:val="left"/>
    </w:lvl>
  </w:abstractNum>
  <w:abstractNum w:abstractNumId="1">
    <w:nsid w:val="56733AE3"/>
    <w:multiLevelType w:val="hybridMultilevel"/>
    <w:tmpl w:val="8C32F518"/>
    <w:lvl w:ilvl="0" w:tplc="52421C50">
      <w:start w:val="1"/>
      <w:numFmt w:val="bullet"/>
      <w:lvlText w:val="●"/>
      <w:lvlJc w:val="left"/>
      <w:pPr>
        <w:ind w:left="720" w:hanging="360"/>
      </w:pPr>
    </w:lvl>
    <w:lvl w:ilvl="1" w:tplc="85E873D0">
      <w:start w:val="1"/>
      <w:numFmt w:val="bullet"/>
      <w:lvlText w:val="○"/>
      <w:lvlJc w:val="left"/>
      <w:pPr>
        <w:ind w:left="1440" w:hanging="360"/>
      </w:pPr>
    </w:lvl>
    <w:lvl w:ilvl="2" w:tplc="580AE8E6">
      <w:start w:val="1"/>
      <w:numFmt w:val="bullet"/>
      <w:lvlText w:val="■"/>
      <w:lvlJc w:val="left"/>
      <w:pPr>
        <w:ind w:left="2160" w:hanging="360"/>
      </w:pPr>
    </w:lvl>
    <w:lvl w:ilvl="3" w:tplc="79B458A4">
      <w:start w:val="1"/>
      <w:numFmt w:val="bullet"/>
      <w:lvlText w:val="●"/>
      <w:lvlJc w:val="left"/>
      <w:pPr>
        <w:ind w:left="2880" w:hanging="360"/>
      </w:pPr>
    </w:lvl>
    <w:lvl w:ilvl="4" w:tplc="24D45160">
      <w:start w:val="1"/>
      <w:numFmt w:val="bullet"/>
      <w:lvlText w:val="○"/>
      <w:lvlJc w:val="left"/>
      <w:pPr>
        <w:ind w:left="3600" w:hanging="360"/>
      </w:pPr>
    </w:lvl>
    <w:lvl w:ilvl="5" w:tplc="372276C6">
      <w:start w:val="1"/>
      <w:numFmt w:val="bullet"/>
      <w:lvlText w:val="■"/>
      <w:lvlJc w:val="left"/>
      <w:pPr>
        <w:ind w:left="4320" w:hanging="360"/>
      </w:pPr>
    </w:lvl>
    <w:lvl w:ilvl="6" w:tplc="E6D4E854">
      <w:start w:val="1"/>
      <w:numFmt w:val="bullet"/>
      <w:lvlText w:val="●"/>
      <w:lvlJc w:val="left"/>
      <w:pPr>
        <w:ind w:left="5040" w:hanging="360"/>
      </w:pPr>
    </w:lvl>
    <w:lvl w:ilvl="7" w:tplc="9EF256A6">
      <w:start w:val="1"/>
      <w:numFmt w:val="bullet"/>
      <w:lvlText w:val="●"/>
      <w:lvlJc w:val="left"/>
      <w:pPr>
        <w:ind w:left="5760" w:hanging="360"/>
      </w:pPr>
    </w:lvl>
    <w:lvl w:ilvl="8" w:tplc="8BBE71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5B81"/>
    <w:rsid w:val="00476CBD"/>
    <w:rsid w:val="009D5B81"/>
    <w:rsid w:val="00C1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19"/>
        <w:szCs w:val="19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sid w:val="009D5B81"/>
    <w:rPr>
      <w:sz w:val="56"/>
      <w:szCs w:val="56"/>
    </w:rPr>
  </w:style>
  <w:style w:type="paragraph" w:customStyle="1" w:styleId="Heading1">
    <w:name w:val="Heading 1"/>
    <w:qFormat/>
    <w:rsid w:val="009D5B81"/>
    <w:rPr>
      <w:color w:val="2E74B5"/>
      <w:sz w:val="32"/>
      <w:szCs w:val="32"/>
    </w:rPr>
  </w:style>
  <w:style w:type="paragraph" w:customStyle="1" w:styleId="Heading2">
    <w:name w:val="Heading 2"/>
    <w:qFormat/>
    <w:rsid w:val="009D5B81"/>
    <w:rPr>
      <w:color w:val="2E74B5"/>
      <w:sz w:val="26"/>
      <w:szCs w:val="26"/>
    </w:rPr>
  </w:style>
  <w:style w:type="paragraph" w:customStyle="1" w:styleId="Heading3">
    <w:name w:val="Heading 3"/>
    <w:qFormat/>
    <w:rsid w:val="009D5B81"/>
    <w:rPr>
      <w:color w:val="1F4D78"/>
      <w:sz w:val="24"/>
      <w:szCs w:val="24"/>
    </w:rPr>
  </w:style>
  <w:style w:type="paragraph" w:customStyle="1" w:styleId="Heading4">
    <w:name w:val="Heading 4"/>
    <w:qFormat/>
    <w:rsid w:val="009D5B81"/>
    <w:rPr>
      <w:i/>
      <w:iCs/>
      <w:color w:val="2E74B5"/>
    </w:rPr>
  </w:style>
  <w:style w:type="paragraph" w:customStyle="1" w:styleId="Heading5">
    <w:name w:val="Heading 5"/>
    <w:qFormat/>
    <w:rsid w:val="009D5B81"/>
    <w:rPr>
      <w:color w:val="2E74B5"/>
    </w:rPr>
  </w:style>
  <w:style w:type="paragraph" w:customStyle="1" w:styleId="Heading6">
    <w:name w:val="Heading 6"/>
    <w:qFormat/>
    <w:rsid w:val="009D5B81"/>
    <w:rPr>
      <w:color w:val="1F4D78"/>
    </w:rPr>
  </w:style>
  <w:style w:type="paragraph" w:customStyle="1" w:styleId="lev1">
    <w:name w:val="Élevé1"/>
    <w:qFormat/>
    <w:rsid w:val="009D5B81"/>
    <w:rPr>
      <w:b/>
      <w:bCs/>
    </w:rPr>
  </w:style>
  <w:style w:type="paragraph" w:styleId="Paragraphedeliste">
    <w:name w:val="List Paragraph"/>
    <w:qFormat/>
    <w:rsid w:val="009D5B81"/>
  </w:style>
  <w:style w:type="character" w:styleId="Lienhypertexte">
    <w:name w:val="Hyperlink"/>
    <w:uiPriority w:val="99"/>
    <w:unhideWhenUsed/>
    <w:rsid w:val="009D5B81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9D5B81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9D5B8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sid w:val="009D5B81"/>
    <w:rPr>
      <w:sz w:val="20"/>
      <w:szCs w:val="20"/>
    </w:rPr>
  </w:style>
  <w:style w:type="character" w:styleId="Appeldenotedefin">
    <w:name w:val="endnote reference"/>
    <w:uiPriority w:val="99"/>
    <w:semiHidden/>
    <w:unhideWhenUsed/>
    <w:rsid w:val="009D5B81"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sid w:val="009D5B8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sid w:val="009D5B81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25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2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934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Alaeddine Ben Jomaa</dc:title>
  <dc:creator>Alaeddine Ben Jomaa</dc:creator>
  <cp:lastModifiedBy>adm</cp:lastModifiedBy>
  <cp:revision>2</cp:revision>
  <dcterms:created xsi:type="dcterms:W3CDTF">2026-10-07T09:43:00Z</dcterms:created>
  <dcterms:modified xsi:type="dcterms:W3CDTF">2026-10-07T09:52:00Z</dcterms:modified>
</cp:coreProperties>
</file>