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F587" w14:textId="77777777" w:rsidR="00B04DBF" w:rsidRDefault="00B04DBF" w:rsidP="00B04DBF">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CURRICULUM VITAE (CV)</w:t>
      </w:r>
    </w:p>
    <w:p w14:paraId="225C1403" w14:textId="77777777" w:rsidR="00B04DBF" w:rsidRDefault="00B04DBF" w:rsidP="00B04DBF">
      <w:pPr>
        <w:spacing w:after="0" w:line="240" w:lineRule="auto"/>
        <w:jc w:val="center"/>
        <w:rPr>
          <w:rFonts w:ascii="Times New Roman" w:hAnsi="Times New Roman" w:cs="Times New Roman"/>
          <w:b/>
          <w:sz w:val="24"/>
          <w:szCs w:val="24"/>
          <w:lang w:val="fr-FR"/>
        </w:rPr>
      </w:pPr>
    </w:p>
    <w:p w14:paraId="41787402" w14:textId="77777777" w:rsidR="00B04DBF" w:rsidRDefault="00B04DBF" w:rsidP="00B04DBF">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DR SAMBA ALY BA</w:t>
      </w:r>
    </w:p>
    <w:p w14:paraId="45073E0D" w14:textId="77777777" w:rsidR="00B04DBF" w:rsidRDefault="00B04DBF" w:rsidP="00B04DBF">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DOCTEUR EN SCIENCES POLITIQUES</w:t>
      </w:r>
    </w:p>
    <w:p w14:paraId="41E463F2" w14:textId="77777777" w:rsidR="00B04DBF" w:rsidRDefault="00B04DBF" w:rsidP="00B04DBF">
      <w:pPr>
        <w:spacing w:after="0" w:line="240" w:lineRule="auto"/>
        <w:jc w:val="center"/>
        <w:rPr>
          <w:rFonts w:ascii="Times New Roman" w:hAnsi="Times New Roman" w:cs="Times New Roman"/>
          <w:b/>
          <w:sz w:val="24"/>
          <w:szCs w:val="24"/>
          <w:lang w:val="fr-FR"/>
        </w:rPr>
      </w:pPr>
    </w:p>
    <w:p w14:paraId="71DB11FA" w14:textId="4024FA4D" w:rsidR="00B04DBF" w:rsidRDefault="009A5DD5" w:rsidP="00B04DBF">
      <w:pPr>
        <w:spacing w:after="0" w:line="240" w:lineRule="auto"/>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EXPERT SENIOR EN POLITIQUES PUBLIQUES, GOUVERNANCE TERRITORIALE, DEVELOPPEMENT ET COOPERATION INTERNATIONALE</w:t>
      </w:r>
    </w:p>
    <w:p w14:paraId="7C4DA691" w14:textId="77777777" w:rsidR="00B04DBF" w:rsidRDefault="00B04DBF" w:rsidP="00B04DBF">
      <w:pPr>
        <w:spacing w:after="0" w:line="240" w:lineRule="auto"/>
        <w:jc w:val="both"/>
        <w:rPr>
          <w:rFonts w:ascii="Times New Roman" w:hAnsi="Times New Roman" w:cs="Times New Roman"/>
          <w:b/>
          <w:bCs/>
          <w:i/>
          <w:sz w:val="24"/>
          <w:szCs w:val="24"/>
          <w:lang w:val="fr-FR"/>
        </w:rPr>
      </w:pPr>
    </w:p>
    <w:p w14:paraId="49FC0787" w14:textId="36D48976" w:rsidR="00B04DBF" w:rsidRDefault="00B04DBF" w:rsidP="00B04DBF">
      <w:pPr>
        <w:spacing w:after="0" w:line="240" w:lineRule="auto"/>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Administrateur général d du Cabinet MIAD (</w:t>
      </w:r>
      <w:r w:rsidR="009A5DD5">
        <w:rPr>
          <w:rFonts w:ascii="Times New Roman" w:hAnsi="Times New Roman" w:cs="Times New Roman"/>
          <w:b/>
          <w:bCs/>
          <w:i/>
          <w:sz w:val="24"/>
          <w:szCs w:val="24"/>
          <w:lang w:val="fr-FR"/>
        </w:rPr>
        <w:t>Mission Initiative</w:t>
      </w:r>
      <w:r>
        <w:rPr>
          <w:rFonts w:ascii="Times New Roman" w:hAnsi="Times New Roman" w:cs="Times New Roman"/>
          <w:b/>
          <w:bCs/>
          <w:i/>
          <w:sz w:val="24"/>
          <w:szCs w:val="24"/>
          <w:lang w:val="fr-FR"/>
        </w:rPr>
        <w:t xml:space="preserve"> Africa Développement)</w:t>
      </w:r>
    </w:p>
    <w:p w14:paraId="64B9B3D0" w14:textId="77777777" w:rsidR="00B04DBF" w:rsidRDefault="00B04DBF" w:rsidP="00B04DBF">
      <w:pPr>
        <w:spacing w:after="0" w:line="240" w:lineRule="auto"/>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Dakar, Sénégal</w:t>
      </w:r>
    </w:p>
    <w:p w14:paraId="4334105F" w14:textId="77777777" w:rsidR="00B04DBF" w:rsidRDefault="00B04DBF" w:rsidP="00B04DBF">
      <w:pPr>
        <w:spacing w:after="0" w:line="240" w:lineRule="auto"/>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 xml:space="preserve"> </w:t>
      </w:r>
      <w:hyperlink r:id="rId7" w:history="1">
        <w:r>
          <w:rPr>
            <w:rStyle w:val="Lienhypertexte"/>
            <w:rFonts w:ascii="Times New Roman" w:hAnsi="Times New Roman" w:cs="Times New Roman"/>
            <w:b/>
            <w:bCs/>
            <w:i/>
            <w:color w:val="auto"/>
            <w:sz w:val="24"/>
            <w:szCs w:val="24"/>
            <w:lang w:val="fr-FR"/>
          </w:rPr>
          <w:t>sambaalyba@gmail.com</w:t>
        </w:r>
      </w:hyperlink>
    </w:p>
    <w:p w14:paraId="3F64F63C" w14:textId="77777777" w:rsidR="00B04DBF" w:rsidRDefault="00B04DBF" w:rsidP="00B04DBF">
      <w:pPr>
        <w:spacing w:after="0" w:line="240" w:lineRule="auto"/>
        <w:jc w:val="both"/>
        <w:rPr>
          <w:rFonts w:ascii="Times New Roman" w:hAnsi="Times New Roman" w:cs="Times New Roman"/>
          <w:b/>
          <w:bCs/>
          <w:i/>
          <w:sz w:val="24"/>
          <w:szCs w:val="24"/>
          <w:lang w:val="fr-FR"/>
        </w:rPr>
      </w:pPr>
      <w:r>
        <w:rPr>
          <w:rFonts w:ascii="Times New Roman" w:hAnsi="Times New Roman" w:cs="Times New Roman"/>
          <w:b/>
          <w:bCs/>
          <w:i/>
          <w:sz w:val="24"/>
          <w:szCs w:val="24"/>
          <w:lang w:val="fr-FR"/>
        </w:rPr>
        <w:t>+221 77 169 04 15</w:t>
      </w:r>
    </w:p>
    <w:p w14:paraId="1F4740F4" w14:textId="77777777" w:rsidR="00B04DBF" w:rsidRDefault="00B04DBF" w:rsidP="00B04DBF">
      <w:pPr>
        <w:spacing w:after="0" w:line="240" w:lineRule="auto"/>
        <w:jc w:val="both"/>
        <w:rPr>
          <w:rFonts w:ascii="Times New Roman" w:hAnsi="Times New Roman" w:cs="Times New Roman"/>
          <w:sz w:val="24"/>
          <w:szCs w:val="24"/>
          <w:lang w:val="fr-FR"/>
        </w:rPr>
      </w:pPr>
    </w:p>
    <w:p w14:paraId="0B938C5D"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PROFIL STRATÉGIQUE</w:t>
      </w:r>
    </w:p>
    <w:p w14:paraId="5FD4EE66" w14:textId="77777777" w:rsidR="00B04DBF" w:rsidRDefault="00B04DBF" w:rsidP="00B04DBF">
      <w:pPr>
        <w:spacing w:after="0" w:line="240" w:lineRule="auto"/>
        <w:jc w:val="both"/>
        <w:rPr>
          <w:rFonts w:ascii="Times New Roman" w:hAnsi="Times New Roman" w:cs="Times New Roman"/>
          <w:sz w:val="24"/>
          <w:szCs w:val="24"/>
          <w:lang w:val="fr-FR"/>
        </w:rPr>
      </w:pPr>
      <w:r>
        <w:rPr>
          <w:rFonts w:ascii="Times New Roman" w:hAnsi="Times New Roman" w:cs="Times New Roman"/>
          <w:b/>
          <w:sz w:val="24"/>
          <w:szCs w:val="24"/>
          <w:lang w:val="fr-FR"/>
        </w:rPr>
        <w:t>Dirigeant public et expert senior en politiques publiques, gouvernance et développement</w:t>
      </w:r>
    </w:p>
    <w:p w14:paraId="06CAB67F" w14:textId="77777777" w:rsidR="00B04DBF" w:rsidRDefault="00B04DBF" w:rsidP="00B04DBF">
      <w:pPr>
        <w:pStyle w:val="pdq2pgselectionanchorcontainer"/>
        <w:spacing w:before="0" w:beforeAutospacing="0" w:after="0" w:afterAutospacing="0"/>
        <w:jc w:val="both"/>
        <w:rPr>
          <w:rStyle w:val="lev"/>
          <w:rFonts w:eastAsiaTheme="majorEastAsia"/>
          <w:b w:val="0"/>
          <w:bCs w:val="0"/>
        </w:rPr>
      </w:pPr>
      <w:r>
        <w:rPr>
          <w:rStyle w:val="lev"/>
          <w:rFonts w:eastAsiaTheme="majorEastAsia"/>
          <w:b w:val="0"/>
          <w:bCs w:val="0"/>
          <w:lang w:val="fr-FR"/>
        </w:rPr>
        <w:t xml:space="preserve">Docteur en sciences politiques, Dr Samba Aly BA dispose de plus de quinze années d’expérience au croisement de l’action publique, du développement économique et territorial, de la coopération internationale et du pilotage institutionnel. Son parcours associe une expérience de direction au plus haut niveau institutionnel, </w:t>
      </w:r>
      <w:proofErr w:type="gramStart"/>
      <w:r>
        <w:rPr>
          <w:rStyle w:val="lev"/>
          <w:rFonts w:eastAsiaTheme="majorEastAsia"/>
          <w:b w:val="0"/>
          <w:bCs w:val="0"/>
          <w:lang w:val="fr-FR"/>
        </w:rPr>
        <w:t>une forte capacité</w:t>
      </w:r>
      <w:proofErr w:type="gramEnd"/>
      <w:r>
        <w:rPr>
          <w:rStyle w:val="lev"/>
          <w:rFonts w:eastAsiaTheme="majorEastAsia"/>
          <w:b w:val="0"/>
          <w:bCs w:val="0"/>
          <w:lang w:val="fr-FR"/>
        </w:rPr>
        <w:t xml:space="preserve"> d’analyse stratégique et une pratique confirmée de la coordination d’équipes et d’acteurs publics, privés et internationaux. Cette expérience de direction s’est notamment construite pendant plus de sept ans au sein du Haut Conseil des Collectivités Territoriales (HCCT), où il a exercé les fonctions de Directeur de Cabinet auprès de ses Présidents successifs, feu Ousmane Tanor DIENG et Madame Aminata MBENGUE NDIAYE. À ce titre, il a assuré des responsabilités d’appui stratégique, de coordination institutionnelle et de pilotage de travaux à portée nationale, tout en coordonnant l’Observatoire scientifique de l’institution, consacré à l’analyse, à la prospective et à la réflexion stratégique sur les politiques publiques territoriales.</w:t>
      </w:r>
    </w:p>
    <w:p w14:paraId="29C7C7C8" w14:textId="77777777" w:rsidR="00B04DBF" w:rsidRDefault="00B04DBF" w:rsidP="00B04DBF">
      <w:pPr>
        <w:pStyle w:val="pdq2pgselectionanchorcontainer"/>
        <w:spacing w:before="0" w:beforeAutospacing="0" w:after="0" w:afterAutospacing="0"/>
        <w:jc w:val="both"/>
        <w:rPr>
          <w:rFonts w:eastAsiaTheme="majorEastAsia"/>
        </w:rPr>
      </w:pPr>
    </w:p>
    <w:p w14:paraId="70480C7C" w14:textId="77777777" w:rsidR="00B04DBF" w:rsidRDefault="00B04DBF" w:rsidP="00B04DBF">
      <w:pPr>
        <w:pStyle w:val="NormalWeb"/>
        <w:spacing w:before="0" w:beforeAutospacing="0" w:after="0" w:afterAutospacing="0"/>
        <w:jc w:val="both"/>
        <w:rPr>
          <w:rStyle w:val="lev"/>
          <w:rFonts w:eastAsiaTheme="majorEastAsia"/>
          <w:b w:val="0"/>
          <w:bCs w:val="0"/>
        </w:rPr>
      </w:pPr>
      <w:r>
        <w:rPr>
          <w:rStyle w:val="lev"/>
          <w:rFonts w:eastAsiaTheme="majorEastAsia"/>
          <w:b w:val="0"/>
          <w:bCs w:val="0"/>
          <w:lang w:val="fr-FR"/>
        </w:rPr>
        <w:t>Cette trajectoire institutionnelle s’inscrit dans un parcours international construit notamment au sein du Cabinet du Maire de Paris, où il a exercé comme Chargé de mission en charge du label « Codéveloppement Sud » et de la coopération décentralisée, puis de l’Association Internationale des Maires Francophones (AIMF), comme Conseiller technique, où il a accompagné et piloté des programmes de coopération et de développement dans plusieurs pays d’Afrique.</w:t>
      </w:r>
    </w:p>
    <w:p w14:paraId="1713E02B" w14:textId="77777777" w:rsidR="00B04DBF" w:rsidRDefault="00B04DBF" w:rsidP="00B04DBF">
      <w:pPr>
        <w:pStyle w:val="NormalWeb"/>
        <w:spacing w:before="0" w:beforeAutospacing="0" w:after="0" w:afterAutospacing="0"/>
        <w:jc w:val="both"/>
        <w:rPr>
          <w:rFonts w:eastAsiaTheme="majorEastAsia"/>
        </w:rPr>
      </w:pPr>
    </w:p>
    <w:p w14:paraId="708B937B" w14:textId="77777777" w:rsidR="00B04DBF" w:rsidRDefault="00B04DBF" w:rsidP="00B04DBF">
      <w:p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À cette expérience institutionnelle et internationale s’ajoute enfin un ancrage académique et scientifique qui nourrit sa capacité d’analyse et de prospective. Enseignant-chercheur et intervenant à Sciences Po Lyon (France) ainsi qu’à l’Institut de Gouvernance Territoriale et du Développement Local (IGT) de l’UCAD, il poursuit parallèlement des travaux de recherche sur les politiques publiques, la gouvernance, la décentralisation, le développement territorial et les dynamiques institutionnelles en Afrique. Cette double expérience, institutionnelle et académique, lui permet d’articuler compréhension des enjeux, analyse stratégique et capacité à accompagner la décision et l’action.</w:t>
      </w:r>
    </w:p>
    <w:p w14:paraId="35A5C8ED" w14:textId="77777777" w:rsidR="00B04DBF" w:rsidRDefault="00B04DBF" w:rsidP="00B04DBF">
      <w:pPr>
        <w:spacing w:after="0" w:line="240" w:lineRule="auto"/>
        <w:jc w:val="both"/>
        <w:rPr>
          <w:rFonts w:ascii="Times New Roman" w:hAnsi="Times New Roman" w:cs="Times New Roman"/>
          <w:sz w:val="24"/>
          <w:szCs w:val="24"/>
          <w:lang w:val="fr-FR"/>
        </w:rPr>
      </w:pPr>
    </w:p>
    <w:p w14:paraId="3419EDA9"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DOMAINES D’EXPERTISE</w:t>
      </w:r>
    </w:p>
    <w:p w14:paraId="61BF43C2"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Analyse stratégique et appui aux politiques publiques </w:t>
      </w:r>
    </w:p>
    <w:p w14:paraId="019761BE"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Gouvernance du secteur public et réformes institutionnelles </w:t>
      </w:r>
    </w:p>
    <w:p w14:paraId="278D5798"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Décentralisation, gouvernance territoriale et territorialisation des politiques publiques </w:t>
      </w:r>
    </w:p>
    <w:p w14:paraId="74662414"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Développement économique local, attractivité territoriale et emploi </w:t>
      </w:r>
    </w:p>
    <w:p w14:paraId="0D831203"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Finances publiques, fiscalité locale et gouvernance financière </w:t>
      </w:r>
    </w:p>
    <w:p w14:paraId="7856A6D2"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lastRenderedPageBreak/>
        <w:t xml:space="preserve">Coopération décentralisée, partenariats territoriaux et diplomatie institutionnelle </w:t>
      </w:r>
    </w:p>
    <w:p w14:paraId="2F4ACD29"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Coordination de projets et animation de cadres multi-acteurs </w:t>
      </w:r>
    </w:p>
    <w:p w14:paraId="63AD75EF" w14:textId="77777777" w:rsidR="00B04DBF" w:rsidRDefault="00B04DBF" w:rsidP="00B04DBF">
      <w:pPr>
        <w:pStyle w:val="Paragraphedeliste"/>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Diagnostic territorial, prospective et formulation de recommandations </w:t>
      </w:r>
    </w:p>
    <w:p w14:paraId="10923C13"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Afrique de l’Ouest : environnements institutionnels, politiques et territoriaux</w:t>
      </w:r>
    </w:p>
    <w:p w14:paraId="55176E1B" w14:textId="77777777" w:rsidR="00B04DBF" w:rsidRDefault="00B04DBF" w:rsidP="00B04DBF">
      <w:pPr>
        <w:pStyle w:val="Listepuces"/>
        <w:numPr>
          <w:ilvl w:val="0"/>
          <w:numId w:val="0"/>
        </w:numPr>
        <w:spacing w:after="0" w:line="240" w:lineRule="auto"/>
        <w:ind w:left="360" w:hanging="360"/>
        <w:jc w:val="both"/>
        <w:rPr>
          <w:rFonts w:ascii="Times New Roman" w:hAnsi="Times New Roman" w:cs="Times New Roman"/>
          <w:sz w:val="24"/>
          <w:szCs w:val="24"/>
          <w:lang w:val="fr-FR"/>
        </w:rPr>
      </w:pPr>
    </w:p>
    <w:p w14:paraId="7EE7ED67"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CAPACITÉS DE LEADERSHIP, MANGEMENT ET DE DIRECTION</w:t>
      </w:r>
    </w:p>
    <w:p w14:paraId="228B8254"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Lecture politico-institutionnelle des environnements complexes et sécurisation des conditions de décision. </w:t>
      </w:r>
    </w:p>
    <w:p w14:paraId="5D13985F"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Conduite du changement et mise en œuvre, à l’articulation entre vision stratégique, contraintes institutionnelles et réalités de terrain. </w:t>
      </w:r>
    </w:p>
    <w:p w14:paraId="53C955C5"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Représentation, négociation et relations institutionnelles, à l’interface des administrations, collectivités, partenaires internationaux et acteurs du développement. </w:t>
      </w:r>
    </w:p>
    <w:p w14:paraId="6DEC3790"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Management et animation d’équipes pluridisciplinaires et de réseaux multi-acteurs. </w:t>
      </w:r>
    </w:p>
    <w:p w14:paraId="1A1C76B7"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 xml:space="preserve">Pilotage stratégique, préparation d’analyses, d’avis, de recommandations et d’orientations à destination des décideurs. </w:t>
      </w:r>
    </w:p>
    <w:p w14:paraId="5103176E"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Direction et coordination institutionnelle, fondées notamment sur une expérience de Directeur de Cabinet au sein d’une institution nationale.</w:t>
      </w:r>
    </w:p>
    <w:p w14:paraId="7EA6C5B4" w14:textId="77777777" w:rsidR="00B04DBF" w:rsidRDefault="00B04DBF" w:rsidP="00B04DBF">
      <w:pPr>
        <w:rPr>
          <w:lang w:val="fr-FR"/>
        </w:rPr>
      </w:pPr>
    </w:p>
    <w:p w14:paraId="5EFB7610"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EXPÉRIENCE PROFESSIONNELLE</w:t>
      </w:r>
    </w:p>
    <w:p w14:paraId="6FED1E66" w14:textId="77777777" w:rsidR="00B04DBF" w:rsidRDefault="00B04DBF" w:rsidP="00B04DBF">
      <w:pPr>
        <w:pStyle w:val="Paragraphedeliste"/>
        <w:numPr>
          <w:ilvl w:val="0"/>
          <w:numId w:val="3"/>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Directeur de Cabinet / Coordonnateur de l’Observatoire scientifique — Haut Conseil des Collectivités Territoriales (HCCT), Sénégal | 2018 – début 2025</w:t>
      </w:r>
    </w:p>
    <w:p w14:paraId="76B4200B"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Appui stratégique aux Présidents successifs et participation aux dialogues institutionnels de haut niveau.</w:t>
      </w:r>
    </w:p>
    <w:p w14:paraId="773E42E6"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Coordination de l’Observatoire scientifique et de travaux d’analyse sur les politiques publiques territoriales.</w:t>
      </w:r>
    </w:p>
    <w:p w14:paraId="2A9969F7"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Supervision de travaux portant notamment sur la fiscalité et les finances locales, la planification, l’emploi, l’insertion des jeunes et l’attractivité des territoires.</w:t>
      </w:r>
    </w:p>
    <w:p w14:paraId="5A82FEAC"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Animation de la concertation avec collectivités territoriales, administrations, partenaires techniques et financiers et experts.</w:t>
      </w:r>
    </w:p>
    <w:p w14:paraId="6E70F36F"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Coordination scientifique de 18 études nationales et production d’avis et de recommandations stratégiques.</w:t>
      </w:r>
    </w:p>
    <w:p w14:paraId="7E37D930"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Pilotage de travaux sur la gouvernance des ressources naturelles, l’environnement et la santé publique locale.</w:t>
      </w:r>
    </w:p>
    <w:p w14:paraId="3F940DFC"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2DE946A7" w14:textId="77777777" w:rsidR="00B04DBF" w:rsidRDefault="00B04DBF" w:rsidP="00B04DBF">
      <w:pPr>
        <w:pStyle w:val="Paragraphedeliste"/>
        <w:numPr>
          <w:ilvl w:val="0"/>
          <w:numId w:val="3"/>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Conseiller technique – Gestion de projets de développement local — Association Internationale des Maires Francophones (AIMF), France / Afrique | 2010 – 2017</w:t>
      </w:r>
    </w:p>
    <w:p w14:paraId="694840CB"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Conception et coordination de programmes multi-pays de coopération internationale et de développement local.</w:t>
      </w:r>
    </w:p>
    <w:p w14:paraId="13EA9A91"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Travail sur la décentralisation, les finances publiques, la gouvernance urbaine et le renforcement des capacités.</w:t>
      </w:r>
    </w:p>
    <w:p w14:paraId="2A3878F4"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Mobilisation et animation de réseaux de collectivités, experts, partenaires internationaux et acteurs institutionnels.</w:t>
      </w:r>
    </w:p>
    <w:p w14:paraId="5384FF08"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Interventions dans plusieurs pays d’Afrique de l’Ouest, notamment au Sénégal, Mali, Burkina Faso, Côte d’Ivoire et Bénin.</w:t>
      </w:r>
    </w:p>
    <w:p w14:paraId="3038C04E"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0C36477B" w14:textId="77777777" w:rsidR="00B04DBF" w:rsidRDefault="00B04DBF" w:rsidP="00B04DBF">
      <w:pPr>
        <w:pStyle w:val="Paragraphedeliste"/>
        <w:numPr>
          <w:ilvl w:val="0"/>
          <w:numId w:val="3"/>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Chargé de mission – Gouvernance locale et action internationale — Ville de Paris – Délégation à l’Action internationale, France | 2008 – 2010</w:t>
      </w:r>
    </w:p>
    <w:p w14:paraId="1960F6AE"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Développement et suivi de partenariats structurants avec plusieurs villes africaines.</w:t>
      </w:r>
    </w:p>
    <w:p w14:paraId="37E41F25"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lastRenderedPageBreak/>
        <w:t>Appui à des programmes de coopération, de codéveloppement, de formation et d’insertion économique.</w:t>
      </w:r>
    </w:p>
    <w:p w14:paraId="458B8F2E"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Suivi de projets financés dans le cadre de dispositifs de coopération internationale.</w:t>
      </w:r>
    </w:p>
    <w:p w14:paraId="1D443956" w14:textId="77777777" w:rsidR="003779D0" w:rsidRDefault="003779D0" w:rsidP="003779D0">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1600AF28" w14:textId="77777777" w:rsidR="00B04DBF" w:rsidRDefault="00B04DBF" w:rsidP="00B04DBF">
      <w:pPr>
        <w:pStyle w:val="Paragraphedeliste"/>
        <w:numPr>
          <w:ilvl w:val="0"/>
          <w:numId w:val="3"/>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Chef de programme – Développement local et formation professionnelle — Conseil Général de l’Essonne / Association Essonne Sahel, Mali | 2006 – 2008</w:t>
      </w:r>
    </w:p>
    <w:p w14:paraId="334C4409"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Appui à 23 communes dans l’élaboration et la mise en œuvre de leurs PDESC.</w:t>
      </w:r>
    </w:p>
    <w:p w14:paraId="0FDAD115"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Mise en place de programmes d’insertion économique en zones rurales.</w:t>
      </w:r>
    </w:p>
    <w:p w14:paraId="5893D4DD"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Accompagnement institutionnel, suivi d’opérations HIMO et évaluation d’impact.</w:t>
      </w:r>
    </w:p>
    <w:p w14:paraId="3A5A1201"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2C718389"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RESPONSABILITÉS ET ACTIVITÉS ACTUELLES</w:t>
      </w:r>
    </w:p>
    <w:p w14:paraId="19CFEA13" w14:textId="77777777" w:rsidR="00B04DBF" w:rsidRDefault="00B04DBF" w:rsidP="00B04DBF">
      <w:pPr>
        <w:pStyle w:val="Paragraphedeliste"/>
        <w:numPr>
          <w:ilvl w:val="0"/>
          <w:numId w:val="4"/>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Administrateur général — MIAD – Mission Initiative Africa Développement | Activité de conseil</w:t>
      </w:r>
    </w:p>
    <w:p w14:paraId="5853A36F"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Conseil, études, assistance technique et accompagnement de projets dans les domaines de la gouvernance, du développement territorial et de la coopération.</w:t>
      </w:r>
    </w:p>
    <w:p w14:paraId="1BB1AC92"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Mobilisation d’expertises et coordination de démarches multi-acteurs.</w:t>
      </w:r>
    </w:p>
    <w:p w14:paraId="0A362F50"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5BC1D478" w14:textId="77777777" w:rsidR="00B04DBF" w:rsidRDefault="00B04DBF" w:rsidP="00B04DBF">
      <w:pPr>
        <w:pStyle w:val="Paragraphedeliste"/>
        <w:numPr>
          <w:ilvl w:val="0"/>
          <w:numId w:val="4"/>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Enseignant vacataire / Chercheur associé — Sciences Po Lyon / Laboratoire interdisciplinaire d’étude du politique et de la gouvernance – Université Paris-Est Créteil | Activités académiques</w:t>
      </w:r>
    </w:p>
    <w:p w14:paraId="3600F994"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Enseignement et recherche sur les gouvernances africaines, les politiques territoriales, la coopération décentralisée et les outils du développement en Afrique subsaharienne.</w:t>
      </w:r>
    </w:p>
    <w:p w14:paraId="5E737184" w14:textId="77777777" w:rsidR="00B04DBF" w:rsidRDefault="00B04DBF" w:rsidP="00B04DBF">
      <w:pPr>
        <w:pStyle w:val="Listepuces"/>
        <w:numPr>
          <w:ilvl w:val="0"/>
          <w:numId w:val="2"/>
        </w:numPr>
        <w:spacing w:after="0" w:line="240" w:lineRule="auto"/>
        <w:jc w:val="both"/>
        <w:rPr>
          <w:rFonts w:ascii="Times New Roman" w:eastAsia="Times New Roman" w:hAnsi="Times New Roman" w:cs="Times New Roman"/>
          <w:sz w:val="24"/>
          <w:szCs w:val="24"/>
          <w:lang w:val="fr-FR" w:eastAsia="fr-SN"/>
        </w:rPr>
      </w:pPr>
      <w:r>
        <w:rPr>
          <w:rFonts w:ascii="Times New Roman" w:eastAsia="Times New Roman" w:hAnsi="Times New Roman" w:cs="Times New Roman"/>
          <w:sz w:val="24"/>
          <w:szCs w:val="24"/>
          <w:lang w:val="fr-FR" w:eastAsia="fr-SN"/>
        </w:rPr>
        <w:t>Production d’analyses et de travaux de recherche sur la décentralisation, la gouvernance locale et les dynamiques territoriales.</w:t>
      </w:r>
    </w:p>
    <w:p w14:paraId="0DD6AB20"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7F6F99C0" w14:textId="1F11363C" w:rsidR="00B04DBF" w:rsidRPr="003779D0" w:rsidRDefault="003779D0"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FORMATION</w:t>
      </w:r>
      <w:r>
        <w:rPr>
          <w:rFonts w:ascii="Times New Roman" w:hAnsi="Times New Roman" w:cs="Times New Roman"/>
          <w:b/>
          <w:bCs/>
          <w:color w:val="auto"/>
          <w:sz w:val="24"/>
          <w:szCs w:val="24"/>
          <w:lang w:val="fr-FR"/>
        </w:rPr>
        <w:t xml:space="preserve"> ACADEMIQUE UNIVERSITAIRE</w:t>
      </w:r>
    </w:p>
    <w:p w14:paraId="776A649D" w14:textId="77777777" w:rsidR="00B04DBF" w:rsidRDefault="00B04DBF" w:rsidP="00B04DBF">
      <w:pPr>
        <w:pStyle w:val="Paragraphedeliste"/>
        <w:numPr>
          <w:ilvl w:val="0"/>
          <w:numId w:val="5"/>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Doctorat en sciences politiques — Université Paris-Est Créteil, 2016</w:t>
      </w:r>
    </w:p>
    <w:p w14:paraId="47A2E3A1" w14:textId="77777777" w:rsidR="00B04DBF" w:rsidRDefault="00B04DBF" w:rsidP="00B04DBF">
      <w:pPr>
        <w:spacing w:after="0" w:line="240" w:lineRule="auto"/>
        <w:ind w:left="283"/>
        <w:jc w:val="both"/>
        <w:rPr>
          <w:rFonts w:ascii="Times New Roman" w:hAnsi="Times New Roman" w:cs="Times New Roman"/>
          <w:b/>
          <w:bCs/>
          <w:i/>
          <w:iCs/>
          <w:sz w:val="24"/>
          <w:szCs w:val="24"/>
          <w:lang w:val="fr-FR"/>
        </w:rPr>
      </w:pPr>
      <w:r>
        <w:rPr>
          <w:rFonts w:ascii="Times New Roman" w:hAnsi="Times New Roman" w:cs="Times New Roman"/>
          <w:b/>
          <w:bCs/>
          <w:i/>
          <w:iCs/>
          <w:sz w:val="24"/>
          <w:szCs w:val="24"/>
          <w:lang w:val="fr-FR"/>
        </w:rPr>
        <w:t>Thèse : « Processus de décentralisation et gouvernance locale au Mali : arènes locales et jeux de coopération des acteurs à Diéma et Nioro du Sahel ».</w:t>
      </w:r>
    </w:p>
    <w:p w14:paraId="4F03766C" w14:textId="77777777" w:rsidR="00B04DBF" w:rsidRDefault="00B04DBF" w:rsidP="00B04DBF">
      <w:pPr>
        <w:spacing w:after="0" w:line="240" w:lineRule="auto"/>
        <w:ind w:left="283"/>
        <w:jc w:val="both"/>
        <w:rPr>
          <w:rFonts w:ascii="Times New Roman" w:hAnsi="Times New Roman" w:cs="Times New Roman"/>
          <w:sz w:val="24"/>
          <w:szCs w:val="24"/>
          <w:lang w:val="fr-FR"/>
        </w:rPr>
      </w:pPr>
    </w:p>
    <w:p w14:paraId="52E2EC64" w14:textId="77777777" w:rsidR="00B04DBF" w:rsidRDefault="00B04DBF" w:rsidP="00B04DBF">
      <w:pPr>
        <w:pStyle w:val="Paragraphedeliste"/>
        <w:numPr>
          <w:ilvl w:val="0"/>
          <w:numId w:val="5"/>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Master 2 – Administration et échanges internationaux — Université Paris-Est, 2006</w:t>
      </w:r>
    </w:p>
    <w:p w14:paraId="6693AC64" w14:textId="77777777" w:rsidR="00B04DBF" w:rsidRDefault="00B04DBF" w:rsidP="00B04DBF">
      <w:pPr>
        <w:spacing w:after="0" w:line="240" w:lineRule="auto"/>
        <w:ind w:left="283"/>
        <w:jc w:val="both"/>
        <w:rPr>
          <w:rFonts w:ascii="Times New Roman" w:hAnsi="Times New Roman" w:cs="Times New Roman"/>
          <w:b/>
          <w:bCs/>
          <w:i/>
          <w:iCs/>
          <w:sz w:val="24"/>
          <w:szCs w:val="24"/>
          <w:lang w:val="fr-FR"/>
        </w:rPr>
      </w:pPr>
      <w:r>
        <w:rPr>
          <w:rFonts w:ascii="Times New Roman" w:hAnsi="Times New Roman" w:cs="Times New Roman"/>
          <w:b/>
          <w:bCs/>
          <w:i/>
          <w:iCs/>
          <w:sz w:val="24"/>
          <w:szCs w:val="24"/>
          <w:lang w:val="fr-FR"/>
        </w:rPr>
        <w:t>Management public et gestion des collectivités locales.</w:t>
      </w:r>
    </w:p>
    <w:p w14:paraId="4A496007" w14:textId="77777777" w:rsidR="00B04DBF" w:rsidRDefault="00B04DBF" w:rsidP="00B04DBF">
      <w:pPr>
        <w:spacing w:after="0" w:line="240" w:lineRule="auto"/>
        <w:jc w:val="both"/>
        <w:rPr>
          <w:rFonts w:ascii="Times New Roman" w:hAnsi="Times New Roman" w:cs="Times New Roman"/>
          <w:b/>
          <w:sz w:val="24"/>
          <w:szCs w:val="24"/>
          <w:lang w:val="fr-FR"/>
        </w:rPr>
      </w:pPr>
    </w:p>
    <w:p w14:paraId="7BF5D55D" w14:textId="0FB3CA2E" w:rsidR="00B04DBF" w:rsidRDefault="00B04DBF" w:rsidP="00B04DBF">
      <w:pPr>
        <w:pStyle w:val="Paragraphedeliste"/>
        <w:numPr>
          <w:ilvl w:val="0"/>
          <w:numId w:val="5"/>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DEA – Dynamiques comparées des sociétés en développement — Université Paris</w:t>
      </w:r>
      <w:r w:rsidR="003779D0">
        <w:rPr>
          <w:rFonts w:ascii="Times New Roman" w:hAnsi="Times New Roman" w:cs="Times New Roman"/>
          <w:b/>
          <w:sz w:val="24"/>
          <w:szCs w:val="24"/>
          <w:lang w:val="fr-FR"/>
        </w:rPr>
        <w:t> </w:t>
      </w:r>
      <w:r>
        <w:rPr>
          <w:rFonts w:ascii="Times New Roman" w:hAnsi="Times New Roman" w:cs="Times New Roman"/>
          <w:b/>
          <w:sz w:val="24"/>
          <w:szCs w:val="24"/>
          <w:lang w:val="fr-FR"/>
        </w:rPr>
        <w:t>7, 2005.</w:t>
      </w:r>
    </w:p>
    <w:p w14:paraId="21075569" w14:textId="20BA4D5A" w:rsidR="00B04DBF" w:rsidRDefault="00B04DBF" w:rsidP="00B04DBF">
      <w:pPr>
        <w:pStyle w:val="Paragraphedeliste"/>
        <w:numPr>
          <w:ilvl w:val="0"/>
          <w:numId w:val="5"/>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DEA – Sociologie du pouvoir : politiques, institutions, sociétés — Université Paris</w:t>
      </w:r>
      <w:r w:rsidR="003779D0">
        <w:rPr>
          <w:rFonts w:ascii="Times New Roman" w:hAnsi="Times New Roman" w:cs="Times New Roman"/>
          <w:b/>
          <w:sz w:val="24"/>
          <w:szCs w:val="24"/>
          <w:lang w:val="fr-FR"/>
        </w:rPr>
        <w:t> </w:t>
      </w:r>
      <w:r>
        <w:rPr>
          <w:rFonts w:ascii="Times New Roman" w:hAnsi="Times New Roman" w:cs="Times New Roman"/>
          <w:b/>
          <w:sz w:val="24"/>
          <w:szCs w:val="24"/>
          <w:lang w:val="fr-FR"/>
        </w:rPr>
        <w:t>7, 2004.</w:t>
      </w:r>
    </w:p>
    <w:p w14:paraId="3164641A" w14:textId="77777777" w:rsidR="00B04DBF" w:rsidRDefault="00B04DBF" w:rsidP="00B04DBF">
      <w:pPr>
        <w:pStyle w:val="Paragraphedeliste"/>
        <w:numPr>
          <w:ilvl w:val="0"/>
          <w:numId w:val="5"/>
        </w:numPr>
        <w:spacing w:after="0" w:line="240" w:lineRule="auto"/>
        <w:jc w:val="both"/>
        <w:rPr>
          <w:rFonts w:ascii="Times New Roman" w:hAnsi="Times New Roman" w:cs="Times New Roman"/>
          <w:b/>
          <w:sz w:val="24"/>
          <w:szCs w:val="24"/>
          <w:lang w:val="fr-FR"/>
        </w:rPr>
      </w:pPr>
      <w:r>
        <w:rPr>
          <w:rFonts w:ascii="Times New Roman" w:hAnsi="Times New Roman" w:cs="Times New Roman"/>
          <w:b/>
          <w:sz w:val="24"/>
          <w:szCs w:val="24"/>
          <w:lang w:val="fr-FR"/>
        </w:rPr>
        <w:t>Maîtrise de sciences politiques — Université Paris 7, 2003.</w:t>
      </w:r>
    </w:p>
    <w:p w14:paraId="736113CE" w14:textId="77777777" w:rsidR="00B04DBF" w:rsidRDefault="00B04DBF" w:rsidP="00B04DBF">
      <w:pPr>
        <w:pStyle w:val="Titre1"/>
        <w:spacing w:before="0" w:after="0" w:line="240" w:lineRule="auto"/>
        <w:jc w:val="both"/>
        <w:rPr>
          <w:rFonts w:ascii="Times New Roman" w:hAnsi="Times New Roman" w:cs="Times New Roman"/>
          <w:b/>
          <w:color w:val="auto"/>
          <w:sz w:val="24"/>
          <w:szCs w:val="24"/>
          <w:lang w:val="fr-FR"/>
        </w:rPr>
      </w:pPr>
    </w:p>
    <w:p w14:paraId="6E41C849"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CONTRIBUTIONS ANALYTIQUES ET PUBLICATIONS – SÉLECTION</w:t>
      </w:r>
    </w:p>
    <w:p w14:paraId="6CAD7B7F"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Diagnostic des « espaces pertinents » d’intégration régionale : dynamiques de la construction urbaine dans la zone du golfe de Guinée (Ghana – Togo – Bénin – Nigeria) et dans les villes de Banfora et Sikasso (Burkina Faso et Mali).</w:t>
      </w:r>
    </w:p>
    <w:p w14:paraId="5667B564"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De la gouvernance locale à la gouvernance partagée : reconfigurations du pouvoir et de la participation citoyenne dans les collectivités territoriales africaines, article extrait du livre à paraître Gouverner le local autrement en Afrique de l’Ouest : Décentralisation, participation citoyenne et transition numérique, par Dr Samba Aly Ba.</w:t>
      </w:r>
    </w:p>
    <w:p w14:paraId="63A699B6"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lastRenderedPageBreak/>
        <w:t>Pour une gouvernance locale partagée à l’ère du numérique en Afrique de l’Ouest : enjeux, conditions et perspectives (Sénégal, Mali, UEMOA), article extrait du même livre, par Dr Samba Aly Ba.</w:t>
      </w:r>
    </w:p>
    <w:p w14:paraId="0963D9E6"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Statut des villes capitales de région et du pôle urbain de Diamniadio (Rapport d’étude du Haut Conseil des Collectivités Territoriales, sous la coordination du Dr Samba Aly Ba).</w:t>
      </w:r>
    </w:p>
    <w:p w14:paraId="56AB0CEB"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Gouverner le local en Afrique. Décentralisation, gouvernance territoriale et jeux d’acteurs : le cas du Mali (ouvrage issu de la thèse de doctorat en science politique, livre à paraître).</w:t>
      </w:r>
    </w:p>
    <w:p w14:paraId="7B1B6E55"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La problématique de la mise en œuvre des Programmes de Développement Économique, Social et Culturel (PDESC) des communes du Mali à l’heure de la décentralisation intégrale.</w:t>
      </w:r>
    </w:p>
    <w:p w14:paraId="6664A059"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Guide didactique de la gestion axée sur les résultats, sous la coordination du Dr Samba Aly Ba (AIMF).</w:t>
      </w:r>
    </w:p>
    <w:p w14:paraId="3D685EB5"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Guide didactique pour une gouvernance locale responsable, par Dr Samba Aly Ba (AIMF), Magaly Brodeur (Centre de recherche en éthique, Université de Montréal), et Pierre Delorme (Département d’études urbaines et touristiques, Université du Québec à Montréal).</w:t>
      </w:r>
    </w:p>
    <w:p w14:paraId="68062091"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Guide didactique sur l’éthique et la gouvernance, par Magaly Brodeur, Pierre Delorme et Samba Aly Ba.</w:t>
      </w:r>
    </w:p>
    <w:p w14:paraId="4E1C3A35"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Note conceptuelle introductive : « L’état actuel du débat scientifique et les enjeux socio-politiques sur le changement climatique et la durabilité des villes » (34ᵉ Congrès des Maires Francophones, Kinshasa, novembre 2014).</w:t>
      </w:r>
    </w:p>
    <w:p w14:paraId="2BF1F3CC"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Les collectivités locales partenaires de premier plan dans la lutte contre le changement climatique (plaidoyer conduit par Dr Samba Aly Ba).</w:t>
      </w:r>
    </w:p>
    <w:p w14:paraId="7C22AC34" w14:textId="77777777" w:rsidR="00B04DBF" w:rsidRPr="003779D0" w:rsidRDefault="00B04DBF" w:rsidP="00B04DBF">
      <w:pPr>
        <w:pStyle w:val="Listepuces"/>
        <w:numPr>
          <w:ilvl w:val="0"/>
          <w:numId w:val="2"/>
        </w:numPr>
        <w:spacing w:after="0" w:line="240" w:lineRule="auto"/>
        <w:jc w:val="both"/>
        <w:rPr>
          <w:rFonts w:ascii="Times New Roman" w:eastAsia="Times New Roman" w:hAnsi="Times New Roman" w:cs="Times New Roman"/>
          <w:i/>
          <w:iCs/>
          <w:sz w:val="24"/>
          <w:szCs w:val="24"/>
          <w:lang w:val="fr-FR" w:eastAsia="fr-SN"/>
        </w:rPr>
      </w:pPr>
      <w:r w:rsidRPr="003779D0">
        <w:rPr>
          <w:rFonts w:ascii="Times New Roman" w:eastAsia="Times New Roman" w:hAnsi="Times New Roman" w:cs="Times New Roman"/>
          <w:i/>
          <w:iCs/>
          <w:sz w:val="24"/>
          <w:szCs w:val="24"/>
          <w:lang w:val="fr-FR" w:eastAsia="fr-SN"/>
        </w:rPr>
        <w:t>La Responsabilité Sociale des Entreprises (RSE) de l’industrie extractive : « Un levier pour le développement de l’économie sociale et solidaire (ESS) dans les territoires », rapport de session du Haut Conseil des Collectivités Territoriales, sous la coordination du Dr Samba Aly Ba.</w:t>
      </w:r>
    </w:p>
    <w:p w14:paraId="59353196" w14:textId="77777777" w:rsidR="00B04DBF" w:rsidRDefault="00B04DBF" w:rsidP="00B04DBF">
      <w:pPr>
        <w:pStyle w:val="Listepuces"/>
        <w:numPr>
          <w:ilvl w:val="0"/>
          <w:numId w:val="0"/>
        </w:numPr>
        <w:spacing w:after="0" w:line="240" w:lineRule="auto"/>
        <w:ind w:left="720"/>
        <w:jc w:val="both"/>
        <w:rPr>
          <w:rFonts w:ascii="Times New Roman" w:eastAsia="Times New Roman" w:hAnsi="Times New Roman" w:cs="Times New Roman"/>
          <w:sz w:val="24"/>
          <w:szCs w:val="24"/>
          <w:lang w:val="fr-FR" w:eastAsia="fr-SN"/>
        </w:rPr>
      </w:pPr>
    </w:p>
    <w:p w14:paraId="68BC3A81"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POSITIONNEMENT STRATÉGIQUE POUR KIIRAAY EDGE</w:t>
      </w:r>
    </w:p>
    <w:p w14:paraId="181D601A" w14:textId="77777777" w:rsidR="00B04DBF" w:rsidRDefault="00B04DBF" w:rsidP="00B04DBF">
      <w:p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Une trajectoire construite au croisement de l’État, des collectivités territoriales, des réseaux internationaux et du monde académique. Elle traduit une capacité à comprendre les enjeux nationaux, arbitrer entre des intérêts et acteurs multiples, conduire des équipes, représenter une institution et transformer l’analyse en orientations et décisions opérationnelles. Cette combinaison constitue un socle pour des responsabilités de direction générale, de conseil stratégique auprès des décideurs publics et de hautes responsabilités publiques.</w:t>
      </w:r>
    </w:p>
    <w:p w14:paraId="39FC74E0" w14:textId="77777777" w:rsidR="00B04DBF" w:rsidRDefault="00B04DBF" w:rsidP="00B04DBF">
      <w:pPr>
        <w:spacing w:after="0" w:line="240" w:lineRule="auto"/>
        <w:jc w:val="both"/>
        <w:rPr>
          <w:rFonts w:ascii="Times New Roman" w:hAnsi="Times New Roman" w:cs="Times New Roman"/>
          <w:sz w:val="24"/>
          <w:szCs w:val="24"/>
          <w:lang w:val="fr-FR"/>
        </w:rPr>
      </w:pPr>
    </w:p>
    <w:p w14:paraId="251C8E64" w14:textId="77777777" w:rsidR="00B04DBF" w:rsidRPr="003779D0" w:rsidRDefault="00B04DBF" w:rsidP="00B04DBF">
      <w:pPr>
        <w:pStyle w:val="Titre1"/>
        <w:spacing w:before="0" w:after="0" w:line="240" w:lineRule="auto"/>
        <w:jc w:val="both"/>
        <w:rPr>
          <w:rFonts w:ascii="Times New Roman" w:hAnsi="Times New Roman" w:cs="Times New Roman"/>
          <w:b/>
          <w:bCs/>
          <w:color w:val="auto"/>
          <w:sz w:val="24"/>
          <w:szCs w:val="24"/>
          <w:lang w:val="fr-FR"/>
        </w:rPr>
      </w:pPr>
      <w:r w:rsidRPr="003779D0">
        <w:rPr>
          <w:rFonts w:ascii="Times New Roman" w:hAnsi="Times New Roman" w:cs="Times New Roman"/>
          <w:b/>
          <w:bCs/>
          <w:color w:val="auto"/>
          <w:sz w:val="24"/>
          <w:szCs w:val="24"/>
          <w:lang w:val="fr-FR"/>
        </w:rPr>
        <w:t>LANGUES</w:t>
      </w:r>
    </w:p>
    <w:p w14:paraId="538F6413"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Français : </w:t>
      </w:r>
      <w:proofErr w:type="spellStart"/>
      <w:r>
        <w:rPr>
          <w:rFonts w:ascii="Times New Roman" w:hAnsi="Times New Roman" w:cs="Times New Roman"/>
          <w:sz w:val="24"/>
          <w:szCs w:val="24"/>
          <w:lang w:val="fr-FR"/>
        </w:rPr>
        <w:t>couran</w:t>
      </w:r>
      <w:proofErr w:type="spellEnd"/>
    </w:p>
    <w:p w14:paraId="3EFF0D43"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Anglais : opérationnel </w:t>
      </w:r>
    </w:p>
    <w:p w14:paraId="59AC8D71"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Arabe : lu et écrit</w:t>
      </w:r>
    </w:p>
    <w:p w14:paraId="4BBB1A8A"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Pular</w:t>
      </w:r>
      <w:proofErr w:type="spellEnd"/>
      <w:r>
        <w:rPr>
          <w:rFonts w:ascii="Times New Roman" w:hAnsi="Times New Roman" w:cs="Times New Roman"/>
          <w:sz w:val="24"/>
          <w:szCs w:val="24"/>
          <w:lang w:val="fr-FR"/>
        </w:rPr>
        <w:t xml:space="preserve"> : </w:t>
      </w:r>
      <w:proofErr w:type="spellStart"/>
      <w:r>
        <w:rPr>
          <w:rFonts w:ascii="Times New Roman" w:hAnsi="Times New Roman" w:cs="Times New Roman"/>
          <w:sz w:val="24"/>
          <w:szCs w:val="24"/>
          <w:lang w:val="fr-FR"/>
        </w:rPr>
        <w:t>couran</w:t>
      </w:r>
      <w:proofErr w:type="spellEnd"/>
      <w:r>
        <w:rPr>
          <w:rFonts w:ascii="Times New Roman" w:hAnsi="Times New Roman" w:cs="Times New Roman"/>
          <w:sz w:val="24"/>
          <w:szCs w:val="24"/>
          <w:lang w:val="fr-FR"/>
        </w:rPr>
        <w:t> ; lu et écrit</w:t>
      </w:r>
    </w:p>
    <w:p w14:paraId="63F60EF3"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Wolof : courant</w:t>
      </w:r>
    </w:p>
    <w:p w14:paraId="71A872EA"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Sérère : moyen</w:t>
      </w:r>
    </w:p>
    <w:p w14:paraId="664D77C3" w14:textId="77777777" w:rsidR="00B04DBF" w:rsidRDefault="00B04DBF" w:rsidP="00B04DBF">
      <w:pPr>
        <w:pStyle w:val="Paragraphedeliste"/>
        <w:numPr>
          <w:ilvl w:val="0"/>
          <w:numId w:val="6"/>
        </w:numPr>
        <w:spacing w:after="0" w:line="240" w:lineRule="auto"/>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Babanan</w:t>
      </w:r>
      <w:proofErr w:type="spellEnd"/>
      <w:r>
        <w:rPr>
          <w:rFonts w:ascii="Times New Roman" w:hAnsi="Times New Roman" w:cs="Times New Roman"/>
          <w:sz w:val="24"/>
          <w:szCs w:val="24"/>
          <w:lang w:val="fr-FR"/>
        </w:rPr>
        <w:t> : moyen</w:t>
      </w:r>
    </w:p>
    <w:p w14:paraId="44F85E50" w14:textId="77777777" w:rsidR="00B04DBF" w:rsidRDefault="00B04DBF" w:rsidP="00B04DBF">
      <w:pPr>
        <w:spacing w:after="0" w:line="240" w:lineRule="auto"/>
        <w:jc w:val="both"/>
        <w:rPr>
          <w:rFonts w:ascii="Times New Roman" w:hAnsi="Times New Roman" w:cs="Times New Roman"/>
          <w:sz w:val="24"/>
          <w:szCs w:val="24"/>
          <w:lang w:val="fr-FR"/>
        </w:rPr>
      </w:pPr>
    </w:p>
    <w:p w14:paraId="2AB50B56" w14:textId="77777777" w:rsidR="00B04DBF" w:rsidRDefault="00B04DBF"/>
    <w:sectPr w:rsidR="00B04DB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145F8" w14:textId="77777777" w:rsidR="00091B88" w:rsidRDefault="00091B88" w:rsidP="009A5DD5">
      <w:pPr>
        <w:spacing w:after="0" w:line="240" w:lineRule="auto"/>
      </w:pPr>
      <w:r>
        <w:separator/>
      </w:r>
    </w:p>
  </w:endnote>
  <w:endnote w:type="continuationSeparator" w:id="0">
    <w:p w14:paraId="44156C3E" w14:textId="77777777" w:rsidR="00091B88" w:rsidRDefault="00091B88" w:rsidP="009A5D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99655"/>
      <w:docPartObj>
        <w:docPartGallery w:val="Page Numbers (Bottom of Page)"/>
        <w:docPartUnique/>
      </w:docPartObj>
    </w:sdtPr>
    <w:sdtContent>
      <w:p w14:paraId="250D9134" w14:textId="5136FB46" w:rsidR="009A5DD5" w:rsidRDefault="009A5DD5">
        <w:pPr>
          <w:pStyle w:val="Pieddepage"/>
          <w:jc w:val="center"/>
        </w:pPr>
        <w:r>
          <w:fldChar w:fldCharType="begin"/>
        </w:r>
        <w:r>
          <w:instrText>PAGE   \* MERGEFORMAT</w:instrText>
        </w:r>
        <w:r>
          <w:fldChar w:fldCharType="separate"/>
        </w:r>
        <w:r>
          <w:rPr>
            <w:lang w:val="fr-FR"/>
          </w:rPr>
          <w:t>2</w:t>
        </w:r>
        <w:r>
          <w:fldChar w:fldCharType="end"/>
        </w:r>
      </w:p>
    </w:sdtContent>
  </w:sdt>
  <w:p w14:paraId="3CC0664C" w14:textId="77777777" w:rsidR="009A5DD5" w:rsidRDefault="009A5DD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ACBC" w14:textId="77777777" w:rsidR="00091B88" w:rsidRDefault="00091B88" w:rsidP="009A5DD5">
      <w:pPr>
        <w:spacing w:after="0" w:line="240" w:lineRule="auto"/>
      </w:pPr>
      <w:r>
        <w:separator/>
      </w:r>
    </w:p>
  </w:footnote>
  <w:footnote w:type="continuationSeparator" w:id="0">
    <w:p w14:paraId="297D6FB1" w14:textId="77777777" w:rsidR="00091B88" w:rsidRDefault="00091B88" w:rsidP="009A5D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72CD26"/>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1A0A16DF"/>
    <w:multiLevelType w:val="hybridMultilevel"/>
    <w:tmpl w:val="5262ECCE"/>
    <w:lvl w:ilvl="0" w:tplc="280C0001">
      <w:start w:val="1"/>
      <w:numFmt w:val="bullet"/>
      <w:lvlText w:val=""/>
      <w:lvlJc w:val="left"/>
      <w:pPr>
        <w:ind w:left="720" w:hanging="360"/>
      </w:pPr>
      <w:rPr>
        <w:rFonts w:ascii="Symbol" w:hAnsi="Symbol" w:hint="default"/>
      </w:rPr>
    </w:lvl>
    <w:lvl w:ilvl="1" w:tplc="280C0003">
      <w:start w:val="1"/>
      <w:numFmt w:val="bullet"/>
      <w:lvlText w:val="o"/>
      <w:lvlJc w:val="left"/>
      <w:pPr>
        <w:ind w:left="1440" w:hanging="360"/>
      </w:pPr>
      <w:rPr>
        <w:rFonts w:ascii="Courier New" w:hAnsi="Courier New" w:cs="Courier New" w:hint="default"/>
      </w:rPr>
    </w:lvl>
    <w:lvl w:ilvl="2" w:tplc="280C0005">
      <w:start w:val="1"/>
      <w:numFmt w:val="bullet"/>
      <w:lvlText w:val=""/>
      <w:lvlJc w:val="left"/>
      <w:pPr>
        <w:ind w:left="2160" w:hanging="360"/>
      </w:pPr>
      <w:rPr>
        <w:rFonts w:ascii="Wingdings" w:hAnsi="Wingdings" w:hint="default"/>
      </w:rPr>
    </w:lvl>
    <w:lvl w:ilvl="3" w:tplc="280C0001">
      <w:start w:val="1"/>
      <w:numFmt w:val="bullet"/>
      <w:lvlText w:val=""/>
      <w:lvlJc w:val="left"/>
      <w:pPr>
        <w:ind w:left="2880" w:hanging="360"/>
      </w:pPr>
      <w:rPr>
        <w:rFonts w:ascii="Symbol" w:hAnsi="Symbol" w:hint="default"/>
      </w:rPr>
    </w:lvl>
    <w:lvl w:ilvl="4" w:tplc="280C0003">
      <w:start w:val="1"/>
      <w:numFmt w:val="bullet"/>
      <w:lvlText w:val="o"/>
      <w:lvlJc w:val="left"/>
      <w:pPr>
        <w:ind w:left="3600" w:hanging="360"/>
      </w:pPr>
      <w:rPr>
        <w:rFonts w:ascii="Courier New" w:hAnsi="Courier New" w:cs="Courier New" w:hint="default"/>
      </w:rPr>
    </w:lvl>
    <w:lvl w:ilvl="5" w:tplc="280C0005">
      <w:start w:val="1"/>
      <w:numFmt w:val="bullet"/>
      <w:lvlText w:val=""/>
      <w:lvlJc w:val="left"/>
      <w:pPr>
        <w:ind w:left="4320" w:hanging="360"/>
      </w:pPr>
      <w:rPr>
        <w:rFonts w:ascii="Wingdings" w:hAnsi="Wingdings" w:hint="default"/>
      </w:rPr>
    </w:lvl>
    <w:lvl w:ilvl="6" w:tplc="280C0001">
      <w:start w:val="1"/>
      <w:numFmt w:val="bullet"/>
      <w:lvlText w:val=""/>
      <w:lvlJc w:val="left"/>
      <w:pPr>
        <w:ind w:left="5040" w:hanging="360"/>
      </w:pPr>
      <w:rPr>
        <w:rFonts w:ascii="Symbol" w:hAnsi="Symbol" w:hint="default"/>
      </w:rPr>
    </w:lvl>
    <w:lvl w:ilvl="7" w:tplc="280C0003">
      <w:start w:val="1"/>
      <w:numFmt w:val="bullet"/>
      <w:lvlText w:val="o"/>
      <w:lvlJc w:val="left"/>
      <w:pPr>
        <w:ind w:left="5760" w:hanging="360"/>
      </w:pPr>
      <w:rPr>
        <w:rFonts w:ascii="Courier New" w:hAnsi="Courier New" w:cs="Courier New" w:hint="default"/>
      </w:rPr>
    </w:lvl>
    <w:lvl w:ilvl="8" w:tplc="280C0005">
      <w:start w:val="1"/>
      <w:numFmt w:val="bullet"/>
      <w:lvlText w:val=""/>
      <w:lvlJc w:val="left"/>
      <w:pPr>
        <w:ind w:left="6480" w:hanging="360"/>
      </w:pPr>
      <w:rPr>
        <w:rFonts w:ascii="Wingdings" w:hAnsi="Wingdings" w:hint="default"/>
      </w:rPr>
    </w:lvl>
  </w:abstractNum>
  <w:abstractNum w:abstractNumId="2" w15:restartNumberingAfterBreak="0">
    <w:nsid w:val="28DB0403"/>
    <w:multiLevelType w:val="hybridMultilevel"/>
    <w:tmpl w:val="1B387C6A"/>
    <w:lvl w:ilvl="0" w:tplc="280C0001">
      <w:start w:val="1"/>
      <w:numFmt w:val="bullet"/>
      <w:lvlText w:val=""/>
      <w:lvlJc w:val="left"/>
      <w:pPr>
        <w:ind w:left="720" w:hanging="360"/>
      </w:pPr>
      <w:rPr>
        <w:rFonts w:ascii="Symbol" w:hAnsi="Symbol" w:hint="default"/>
      </w:rPr>
    </w:lvl>
    <w:lvl w:ilvl="1" w:tplc="280C0003">
      <w:start w:val="1"/>
      <w:numFmt w:val="bullet"/>
      <w:lvlText w:val="o"/>
      <w:lvlJc w:val="left"/>
      <w:pPr>
        <w:ind w:left="1440" w:hanging="360"/>
      </w:pPr>
      <w:rPr>
        <w:rFonts w:ascii="Courier New" w:hAnsi="Courier New" w:cs="Courier New" w:hint="default"/>
      </w:rPr>
    </w:lvl>
    <w:lvl w:ilvl="2" w:tplc="280C0005">
      <w:start w:val="1"/>
      <w:numFmt w:val="bullet"/>
      <w:lvlText w:val=""/>
      <w:lvlJc w:val="left"/>
      <w:pPr>
        <w:ind w:left="2160" w:hanging="360"/>
      </w:pPr>
      <w:rPr>
        <w:rFonts w:ascii="Wingdings" w:hAnsi="Wingdings" w:hint="default"/>
      </w:rPr>
    </w:lvl>
    <w:lvl w:ilvl="3" w:tplc="280C0001">
      <w:start w:val="1"/>
      <w:numFmt w:val="bullet"/>
      <w:lvlText w:val=""/>
      <w:lvlJc w:val="left"/>
      <w:pPr>
        <w:ind w:left="2880" w:hanging="360"/>
      </w:pPr>
      <w:rPr>
        <w:rFonts w:ascii="Symbol" w:hAnsi="Symbol" w:hint="default"/>
      </w:rPr>
    </w:lvl>
    <w:lvl w:ilvl="4" w:tplc="280C0003">
      <w:start w:val="1"/>
      <w:numFmt w:val="bullet"/>
      <w:lvlText w:val="o"/>
      <w:lvlJc w:val="left"/>
      <w:pPr>
        <w:ind w:left="3600" w:hanging="360"/>
      </w:pPr>
      <w:rPr>
        <w:rFonts w:ascii="Courier New" w:hAnsi="Courier New" w:cs="Courier New" w:hint="default"/>
      </w:rPr>
    </w:lvl>
    <w:lvl w:ilvl="5" w:tplc="280C0005">
      <w:start w:val="1"/>
      <w:numFmt w:val="bullet"/>
      <w:lvlText w:val=""/>
      <w:lvlJc w:val="left"/>
      <w:pPr>
        <w:ind w:left="4320" w:hanging="360"/>
      </w:pPr>
      <w:rPr>
        <w:rFonts w:ascii="Wingdings" w:hAnsi="Wingdings" w:hint="default"/>
      </w:rPr>
    </w:lvl>
    <w:lvl w:ilvl="6" w:tplc="280C0001">
      <w:start w:val="1"/>
      <w:numFmt w:val="bullet"/>
      <w:lvlText w:val=""/>
      <w:lvlJc w:val="left"/>
      <w:pPr>
        <w:ind w:left="5040" w:hanging="360"/>
      </w:pPr>
      <w:rPr>
        <w:rFonts w:ascii="Symbol" w:hAnsi="Symbol" w:hint="default"/>
      </w:rPr>
    </w:lvl>
    <w:lvl w:ilvl="7" w:tplc="280C0003">
      <w:start w:val="1"/>
      <w:numFmt w:val="bullet"/>
      <w:lvlText w:val="o"/>
      <w:lvlJc w:val="left"/>
      <w:pPr>
        <w:ind w:left="5760" w:hanging="360"/>
      </w:pPr>
      <w:rPr>
        <w:rFonts w:ascii="Courier New" w:hAnsi="Courier New" w:cs="Courier New" w:hint="default"/>
      </w:rPr>
    </w:lvl>
    <w:lvl w:ilvl="8" w:tplc="280C0005">
      <w:start w:val="1"/>
      <w:numFmt w:val="bullet"/>
      <w:lvlText w:val=""/>
      <w:lvlJc w:val="left"/>
      <w:pPr>
        <w:ind w:left="6480" w:hanging="360"/>
      </w:pPr>
      <w:rPr>
        <w:rFonts w:ascii="Wingdings" w:hAnsi="Wingdings" w:hint="default"/>
      </w:rPr>
    </w:lvl>
  </w:abstractNum>
  <w:abstractNum w:abstractNumId="3" w15:restartNumberingAfterBreak="0">
    <w:nsid w:val="5F673C31"/>
    <w:multiLevelType w:val="hybridMultilevel"/>
    <w:tmpl w:val="82A8DC10"/>
    <w:lvl w:ilvl="0" w:tplc="71D6B8AC">
      <w:start w:val="1"/>
      <w:numFmt w:val="decimal"/>
      <w:lvlText w:val="%1."/>
      <w:lvlJc w:val="left"/>
      <w:pPr>
        <w:ind w:left="720" w:hanging="360"/>
      </w:pPr>
      <w:rPr>
        <w:b/>
      </w:rPr>
    </w:lvl>
    <w:lvl w:ilvl="1" w:tplc="280C0019">
      <w:start w:val="1"/>
      <w:numFmt w:val="lowerLetter"/>
      <w:lvlText w:val="%2."/>
      <w:lvlJc w:val="left"/>
      <w:pPr>
        <w:ind w:left="1440" w:hanging="360"/>
      </w:pPr>
    </w:lvl>
    <w:lvl w:ilvl="2" w:tplc="280C001B">
      <w:start w:val="1"/>
      <w:numFmt w:val="lowerRoman"/>
      <w:lvlText w:val="%3."/>
      <w:lvlJc w:val="right"/>
      <w:pPr>
        <w:ind w:left="2160" w:hanging="180"/>
      </w:pPr>
    </w:lvl>
    <w:lvl w:ilvl="3" w:tplc="280C000F">
      <w:start w:val="1"/>
      <w:numFmt w:val="decimal"/>
      <w:lvlText w:val="%4."/>
      <w:lvlJc w:val="left"/>
      <w:pPr>
        <w:ind w:left="2880" w:hanging="360"/>
      </w:pPr>
    </w:lvl>
    <w:lvl w:ilvl="4" w:tplc="280C0019">
      <w:start w:val="1"/>
      <w:numFmt w:val="lowerLetter"/>
      <w:lvlText w:val="%5."/>
      <w:lvlJc w:val="left"/>
      <w:pPr>
        <w:ind w:left="3600" w:hanging="360"/>
      </w:pPr>
    </w:lvl>
    <w:lvl w:ilvl="5" w:tplc="280C001B">
      <w:start w:val="1"/>
      <w:numFmt w:val="lowerRoman"/>
      <w:lvlText w:val="%6."/>
      <w:lvlJc w:val="right"/>
      <w:pPr>
        <w:ind w:left="4320" w:hanging="180"/>
      </w:pPr>
    </w:lvl>
    <w:lvl w:ilvl="6" w:tplc="280C000F">
      <w:start w:val="1"/>
      <w:numFmt w:val="decimal"/>
      <w:lvlText w:val="%7."/>
      <w:lvlJc w:val="left"/>
      <w:pPr>
        <w:ind w:left="5040" w:hanging="360"/>
      </w:pPr>
    </w:lvl>
    <w:lvl w:ilvl="7" w:tplc="280C0019">
      <w:start w:val="1"/>
      <w:numFmt w:val="lowerLetter"/>
      <w:lvlText w:val="%8."/>
      <w:lvlJc w:val="left"/>
      <w:pPr>
        <w:ind w:left="5760" w:hanging="360"/>
      </w:pPr>
    </w:lvl>
    <w:lvl w:ilvl="8" w:tplc="280C001B">
      <w:start w:val="1"/>
      <w:numFmt w:val="lowerRoman"/>
      <w:lvlText w:val="%9."/>
      <w:lvlJc w:val="right"/>
      <w:pPr>
        <w:ind w:left="6480" w:hanging="180"/>
      </w:pPr>
    </w:lvl>
  </w:abstractNum>
  <w:abstractNum w:abstractNumId="4" w15:restartNumberingAfterBreak="0">
    <w:nsid w:val="77E7251C"/>
    <w:multiLevelType w:val="hybridMultilevel"/>
    <w:tmpl w:val="AD9499B8"/>
    <w:lvl w:ilvl="0" w:tplc="71D6B8AC">
      <w:start w:val="1"/>
      <w:numFmt w:val="decimal"/>
      <w:lvlText w:val="%1."/>
      <w:lvlJc w:val="left"/>
      <w:pPr>
        <w:ind w:left="720" w:hanging="360"/>
      </w:pPr>
      <w:rPr>
        <w:b/>
      </w:rPr>
    </w:lvl>
    <w:lvl w:ilvl="1" w:tplc="280C0019">
      <w:start w:val="1"/>
      <w:numFmt w:val="lowerLetter"/>
      <w:lvlText w:val="%2."/>
      <w:lvlJc w:val="left"/>
      <w:pPr>
        <w:ind w:left="1440" w:hanging="360"/>
      </w:pPr>
    </w:lvl>
    <w:lvl w:ilvl="2" w:tplc="280C001B">
      <w:start w:val="1"/>
      <w:numFmt w:val="lowerRoman"/>
      <w:lvlText w:val="%3."/>
      <w:lvlJc w:val="right"/>
      <w:pPr>
        <w:ind w:left="2160" w:hanging="180"/>
      </w:pPr>
    </w:lvl>
    <w:lvl w:ilvl="3" w:tplc="280C000F">
      <w:start w:val="1"/>
      <w:numFmt w:val="decimal"/>
      <w:lvlText w:val="%4."/>
      <w:lvlJc w:val="left"/>
      <w:pPr>
        <w:ind w:left="2880" w:hanging="360"/>
      </w:pPr>
    </w:lvl>
    <w:lvl w:ilvl="4" w:tplc="280C0019">
      <w:start w:val="1"/>
      <w:numFmt w:val="lowerLetter"/>
      <w:lvlText w:val="%5."/>
      <w:lvlJc w:val="left"/>
      <w:pPr>
        <w:ind w:left="3600" w:hanging="360"/>
      </w:pPr>
    </w:lvl>
    <w:lvl w:ilvl="5" w:tplc="280C001B">
      <w:start w:val="1"/>
      <w:numFmt w:val="lowerRoman"/>
      <w:lvlText w:val="%6."/>
      <w:lvlJc w:val="right"/>
      <w:pPr>
        <w:ind w:left="4320" w:hanging="180"/>
      </w:pPr>
    </w:lvl>
    <w:lvl w:ilvl="6" w:tplc="280C000F">
      <w:start w:val="1"/>
      <w:numFmt w:val="decimal"/>
      <w:lvlText w:val="%7."/>
      <w:lvlJc w:val="left"/>
      <w:pPr>
        <w:ind w:left="5040" w:hanging="360"/>
      </w:pPr>
    </w:lvl>
    <w:lvl w:ilvl="7" w:tplc="280C0019">
      <w:start w:val="1"/>
      <w:numFmt w:val="lowerLetter"/>
      <w:lvlText w:val="%8."/>
      <w:lvlJc w:val="left"/>
      <w:pPr>
        <w:ind w:left="5760" w:hanging="360"/>
      </w:pPr>
    </w:lvl>
    <w:lvl w:ilvl="8" w:tplc="280C001B">
      <w:start w:val="1"/>
      <w:numFmt w:val="lowerRoman"/>
      <w:lvlText w:val="%9."/>
      <w:lvlJc w:val="right"/>
      <w:pPr>
        <w:ind w:left="6480" w:hanging="180"/>
      </w:pPr>
    </w:lvl>
  </w:abstractNum>
  <w:abstractNum w:abstractNumId="5" w15:restartNumberingAfterBreak="0">
    <w:nsid w:val="7BB6473B"/>
    <w:multiLevelType w:val="hybridMultilevel"/>
    <w:tmpl w:val="03CE710A"/>
    <w:lvl w:ilvl="0" w:tplc="71D6B8AC">
      <w:start w:val="1"/>
      <w:numFmt w:val="decimal"/>
      <w:lvlText w:val="%1."/>
      <w:lvlJc w:val="left"/>
      <w:pPr>
        <w:ind w:left="720" w:hanging="360"/>
      </w:pPr>
      <w:rPr>
        <w:b/>
      </w:rPr>
    </w:lvl>
    <w:lvl w:ilvl="1" w:tplc="280C0019">
      <w:start w:val="1"/>
      <w:numFmt w:val="lowerLetter"/>
      <w:lvlText w:val="%2."/>
      <w:lvlJc w:val="left"/>
      <w:pPr>
        <w:ind w:left="1440" w:hanging="360"/>
      </w:pPr>
    </w:lvl>
    <w:lvl w:ilvl="2" w:tplc="280C001B">
      <w:start w:val="1"/>
      <w:numFmt w:val="lowerRoman"/>
      <w:lvlText w:val="%3."/>
      <w:lvlJc w:val="right"/>
      <w:pPr>
        <w:ind w:left="2160" w:hanging="180"/>
      </w:pPr>
    </w:lvl>
    <w:lvl w:ilvl="3" w:tplc="280C000F">
      <w:start w:val="1"/>
      <w:numFmt w:val="decimal"/>
      <w:lvlText w:val="%4."/>
      <w:lvlJc w:val="left"/>
      <w:pPr>
        <w:ind w:left="2880" w:hanging="360"/>
      </w:pPr>
    </w:lvl>
    <w:lvl w:ilvl="4" w:tplc="280C0019">
      <w:start w:val="1"/>
      <w:numFmt w:val="lowerLetter"/>
      <w:lvlText w:val="%5."/>
      <w:lvlJc w:val="left"/>
      <w:pPr>
        <w:ind w:left="3600" w:hanging="360"/>
      </w:pPr>
    </w:lvl>
    <w:lvl w:ilvl="5" w:tplc="280C001B">
      <w:start w:val="1"/>
      <w:numFmt w:val="lowerRoman"/>
      <w:lvlText w:val="%6."/>
      <w:lvlJc w:val="right"/>
      <w:pPr>
        <w:ind w:left="4320" w:hanging="180"/>
      </w:pPr>
    </w:lvl>
    <w:lvl w:ilvl="6" w:tplc="280C000F">
      <w:start w:val="1"/>
      <w:numFmt w:val="decimal"/>
      <w:lvlText w:val="%7."/>
      <w:lvlJc w:val="left"/>
      <w:pPr>
        <w:ind w:left="5040" w:hanging="360"/>
      </w:pPr>
    </w:lvl>
    <w:lvl w:ilvl="7" w:tplc="280C0019">
      <w:start w:val="1"/>
      <w:numFmt w:val="lowerLetter"/>
      <w:lvlText w:val="%8."/>
      <w:lvlJc w:val="left"/>
      <w:pPr>
        <w:ind w:left="5760" w:hanging="360"/>
      </w:pPr>
    </w:lvl>
    <w:lvl w:ilvl="8" w:tplc="280C001B">
      <w:start w:val="1"/>
      <w:numFmt w:val="lowerRoman"/>
      <w:lvlText w:val="%9."/>
      <w:lvlJc w:val="right"/>
      <w:pPr>
        <w:ind w:left="6480" w:hanging="180"/>
      </w:pPr>
    </w:lvl>
  </w:abstractNum>
  <w:num w:numId="1" w16cid:durableId="2005663874">
    <w:abstractNumId w:val="0"/>
    <w:lvlOverride w:ilvl="0"/>
  </w:num>
  <w:num w:numId="2" w16cid:durableId="1225067614">
    <w:abstractNumId w:val="1"/>
    <w:lvlOverride w:ilvl="0"/>
    <w:lvlOverride w:ilvl="1"/>
    <w:lvlOverride w:ilvl="2"/>
    <w:lvlOverride w:ilvl="3"/>
    <w:lvlOverride w:ilvl="4"/>
    <w:lvlOverride w:ilvl="5"/>
    <w:lvlOverride w:ilvl="6"/>
    <w:lvlOverride w:ilvl="7"/>
    <w:lvlOverride w:ilvl="8"/>
  </w:num>
  <w:num w:numId="3" w16cid:durableId="5792207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92871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174355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63427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DBF"/>
    <w:rsid w:val="00091B88"/>
    <w:rsid w:val="003779D0"/>
    <w:rsid w:val="00960449"/>
    <w:rsid w:val="009A5DD5"/>
    <w:rsid w:val="00B04DBF"/>
  </w:rsids>
  <m:mathPr>
    <m:mathFont m:val="Cambria Math"/>
    <m:brkBin m:val="before"/>
    <m:brkBinSub m:val="--"/>
    <m:smallFrac m:val="0"/>
    <m:dispDef/>
    <m:lMargin m:val="0"/>
    <m:rMargin m:val="0"/>
    <m:defJc m:val="centerGroup"/>
    <m:wrapIndent m:val="1440"/>
    <m:intLim m:val="subSup"/>
    <m:naryLim m:val="undOvr"/>
  </m:mathPr>
  <w:themeFontLang w:val="fr-S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E20EE"/>
  <w15:chartTrackingRefBased/>
  <w15:docId w15:val="{CAAAF8A4-8A64-448A-AF74-86B37BF0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S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DBF"/>
    <w:pPr>
      <w:spacing w:after="60" w:line="276" w:lineRule="auto"/>
    </w:pPr>
    <w:rPr>
      <w:rFonts w:ascii="Aptos" w:eastAsiaTheme="minorEastAsia" w:hAnsi="Aptos"/>
      <w:kern w:val="0"/>
      <w:sz w:val="19"/>
      <w:szCs w:val="22"/>
      <w:lang w:val="en-US"/>
      <w14:ligatures w14:val="none"/>
    </w:rPr>
  </w:style>
  <w:style w:type="paragraph" w:styleId="Titre1">
    <w:name w:val="heading 1"/>
    <w:basedOn w:val="Normal"/>
    <w:next w:val="Normal"/>
    <w:link w:val="Titre1Car"/>
    <w:uiPriority w:val="9"/>
    <w:qFormat/>
    <w:rsid w:val="00B04D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B04D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B04DB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B04DB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B04DB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B04DB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04DB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04DB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04DB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04DB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04DB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04DB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04DB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04DB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04DB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04DB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04DB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04DBF"/>
    <w:rPr>
      <w:rFonts w:eastAsiaTheme="majorEastAsia" w:cstheme="majorBidi"/>
      <w:color w:val="272727" w:themeColor="text1" w:themeTint="D8"/>
    </w:rPr>
  </w:style>
  <w:style w:type="paragraph" w:styleId="Titre">
    <w:name w:val="Title"/>
    <w:basedOn w:val="Normal"/>
    <w:next w:val="Normal"/>
    <w:link w:val="TitreCar"/>
    <w:uiPriority w:val="10"/>
    <w:qFormat/>
    <w:rsid w:val="00B04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04DB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04DB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04DB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04DBF"/>
    <w:pPr>
      <w:spacing w:before="160"/>
      <w:jc w:val="center"/>
    </w:pPr>
    <w:rPr>
      <w:i/>
      <w:iCs/>
      <w:color w:val="404040" w:themeColor="text1" w:themeTint="BF"/>
    </w:rPr>
  </w:style>
  <w:style w:type="character" w:customStyle="1" w:styleId="CitationCar">
    <w:name w:val="Citation Car"/>
    <w:basedOn w:val="Policepardfaut"/>
    <w:link w:val="Citation"/>
    <w:uiPriority w:val="29"/>
    <w:rsid w:val="00B04DBF"/>
    <w:rPr>
      <w:i/>
      <w:iCs/>
      <w:color w:val="404040" w:themeColor="text1" w:themeTint="BF"/>
    </w:rPr>
  </w:style>
  <w:style w:type="paragraph" w:styleId="Paragraphedeliste">
    <w:name w:val="List Paragraph"/>
    <w:basedOn w:val="Normal"/>
    <w:uiPriority w:val="34"/>
    <w:qFormat/>
    <w:rsid w:val="00B04DBF"/>
    <w:pPr>
      <w:ind w:left="720"/>
      <w:contextualSpacing/>
    </w:pPr>
  </w:style>
  <w:style w:type="character" w:styleId="Accentuationintense">
    <w:name w:val="Intense Emphasis"/>
    <w:basedOn w:val="Policepardfaut"/>
    <w:uiPriority w:val="21"/>
    <w:qFormat/>
    <w:rsid w:val="00B04DBF"/>
    <w:rPr>
      <w:i/>
      <w:iCs/>
      <w:color w:val="2F5496" w:themeColor="accent1" w:themeShade="BF"/>
    </w:rPr>
  </w:style>
  <w:style w:type="paragraph" w:styleId="Citationintense">
    <w:name w:val="Intense Quote"/>
    <w:basedOn w:val="Normal"/>
    <w:next w:val="Normal"/>
    <w:link w:val="CitationintenseCar"/>
    <w:uiPriority w:val="30"/>
    <w:qFormat/>
    <w:rsid w:val="00B04D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B04DBF"/>
    <w:rPr>
      <w:i/>
      <w:iCs/>
      <w:color w:val="2F5496" w:themeColor="accent1" w:themeShade="BF"/>
    </w:rPr>
  </w:style>
  <w:style w:type="character" w:styleId="Rfrenceintense">
    <w:name w:val="Intense Reference"/>
    <w:basedOn w:val="Policepardfaut"/>
    <w:uiPriority w:val="32"/>
    <w:qFormat/>
    <w:rsid w:val="00B04DBF"/>
    <w:rPr>
      <w:b/>
      <w:bCs/>
      <w:smallCaps/>
      <w:color w:val="2F5496" w:themeColor="accent1" w:themeShade="BF"/>
      <w:spacing w:val="5"/>
    </w:rPr>
  </w:style>
  <w:style w:type="character" w:styleId="Lienhypertexte">
    <w:name w:val="Hyperlink"/>
    <w:basedOn w:val="Policepardfaut"/>
    <w:uiPriority w:val="99"/>
    <w:semiHidden/>
    <w:unhideWhenUsed/>
    <w:rsid w:val="00B04DBF"/>
    <w:rPr>
      <w:color w:val="0563C1" w:themeColor="hyperlink"/>
      <w:u w:val="single"/>
    </w:rPr>
  </w:style>
  <w:style w:type="paragraph" w:styleId="NormalWeb">
    <w:name w:val="Normal (Web)"/>
    <w:basedOn w:val="Normal"/>
    <w:uiPriority w:val="99"/>
    <w:semiHidden/>
    <w:unhideWhenUsed/>
    <w:rsid w:val="00B04DBF"/>
    <w:pPr>
      <w:spacing w:before="100" w:beforeAutospacing="1" w:after="100" w:afterAutospacing="1" w:line="240" w:lineRule="auto"/>
    </w:pPr>
    <w:rPr>
      <w:rFonts w:ascii="Times New Roman" w:eastAsia="Times New Roman" w:hAnsi="Times New Roman" w:cs="Times New Roman"/>
      <w:sz w:val="24"/>
      <w:szCs w:val="24"/>
      <w:lang w:val="fr-SN" w:eastAsia="fr-SN"/>
    </w:rPr>
  </w:style>
  <w:style w:type="paragraph" w:styleId="Listepuces">
    <w:name w:val="List Bullet"/>
    <w:basedOn w:val="Normal"/>
    <w:uiPriority w:val="99"/>
    <w:semiHidden/>
    <w:unhideWhenUsed/>
    <w:rsid w:val="00B04DBF"/>
    <w:pPr>
      <w:numPr>
        <w:numId w:val="1"/>
      </w:numPr>
      <w:tabs>
        <w:tab w:val="clear" w:pos="360"/>
      </w:tabs>
      <w:ind w:left="0" w:firstLine="0"/>
      <w:contextualSpacing/>
    </w:pPr>
  </w:style>
  <w:style w:type="paragraph" w:customStyle="1" w:styleId="pdq2pgselectionanchorcontainer">
    <w:name w:val="pdq2pg_selectionanchorcontainer"/>
    <w:basedOn w:val="Normal"/>
    <w:uiPriority w:val="99"/>
    <w:semiHidden/>
    <w:rsid w:val="00B04DBF"/>
    <w:pPr>
      <w:spacing w:before="100" w:beforeAutospacing="1" w:after="100" w:afterAutospacing="1" w:line="240" w:lineRule="auto"/>
    </w:pPr>
    <w:rPr>
      <w:rFonts w:ascii="Times New Roman" w:eastAsia="Times New Roman" w:hAnsi="Times New Roman" w:cs="Times New Roman"/>
      <w:sz w:val="24"/>
      <w:szCs w:val="24"/>
      <w:lang w:val="fr-SN" w:eastAsia="fr-SN"/>
    </w:rPr>
  </w:style>
  <w:style w:type="character" w:styleId="lev">
    <w:name w:val="Strong"/>
    <w:basedOn w:val="Policepardfaut"/>
    <w:uiPriority w:val="22"/>
    <w:qFormat/>
    <w:rsid w:val="00B04DBF"/>
    <w:rPr>
      <w:b/>
      <w:bCs/>
    </w:rPr>
  </w:style>
  <w:style w:type="paragraph" w:styleId="En-tte">
    <w:name w:val="header"/>
    <w:basedOn w:val="Normal"/>
    <w:link w:val="En-tteCar"/>
    <w:uiPriority w:val="99"/>
    <w:unhideWhenUsed/>
    <w:rsid w:val="009A5DD5"/>
    <w:pPr>
      <w:tabs>
        <w:tab w:val="center" w:pos="4536"/>
        <w:tab w:val="right" w:pos="9072"/>
      </w:tabs>
      <w:spacing w:after="0" w:line="240" w:lineRule="auto"/>
    </w:pPr>
  </w:style>
  <w:style w:type="character" w:customStyle="1" w:styleId="En-tteCar">
    <w:name w:val="En-tête Car"/>
    <w:basedOn w:val="Policepardfaut"/>
    <w:link w:val="En-tte"/>
    <w:uiPriority w:val="99"/>
    <w:rsid w:val="009A5DD5"/>
    <w:rPr>
      <w:rFonts w:ascii="Aptos" w:eastAsiaTheme="minorEastAsia" w:hAnsi="Aptos"/>
      <w:kern w:val="0"/>
      <w:sz w:val="19"/>
      <w:szCs w:val="22"/>
      <w:lang w:val="en-US"/>
      <w14:ligatures w14:val="none"/>
    </w:rPr>
  </w:style>
  <w:style w:type="paragraph" w:styleId="Pieddepage">
    <w:name w:val="footer"/>
    <w:basedOn w:val="Normal"/>
    <w:link w:val="PieddepageCar"/>
    <w:uiPriority w:val="99"/>
    <w:unhideWhenUsed/>
    <w:rsid w:val="009A5DD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A5DD5"/>
    <w:rPr>
      <w:rFonts w:ascii="Aptos" w:eastAsiaTheme="minorEastAsia" w:hAnsi="Aptos"/>
      <w:kern w:val="0"/>
      <w:sz w:val="19"/>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ambaalyb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1723</Words>
  <Characters>9477</Characters>
  <Application>Microsoft Office Word</Application>
  <DocSecurity>0</DocSecurity>
  <Lines>78</Lines>
  <Paragraphs>22</Paragraphs>
  <ScaleCrop>false</ScaleCrop>
  <Company/>
  <LinksUpToDate>false</LinksUpToDate>
  <CharactersWithSpaces>11178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Samba Aly BA</dc:creator>
  <cp:keywords/>
  <dc:description/>
  <cp:lastModifiedBy>Samba Aly BA</cp:lastModifiedBy>
  <cp:revision>3</cp:revision>
  <dcterms:created xsi:type="dcterms:W3CDTF">2026-09-05T01:22:00Z</dcterms:created>
  <dcterms:modified xsi:type="dcterms:W3CDTF">2026-09-05T01:29:00Z</dcterms:modified>
</cp:coreProperties>
</file>