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3826"/>
      </w:tblGrid>
      <w:tr w:rsidR="00BD57CA" w14:paraId="15710586" w14:textId="77777777">
        <w:tc>
          <w:tcPr>
            <w:tcW w:w="5200" w:type="dxa"/>
            <w:shd w:val="clear" w:color="auto" w:fill="1A2F5A"/>
            <w:tcMar>
              <w:top w:w="300" w:type="dxa"/>
              <w:left w:w="480" w:type="dxa"/>
              <w:bottom w:w="300" w:type="dxa"/>
              <w:right w:w="280" w:type="dxa"/>
            </w:tcMar>
            <w:vAlign w:val="center"/>
          </w:tcPr>
          <w:p w14:paraId="291CAB64" w14:textId="77777777" w:rsidR="00BD57CA" w:rsidRDefault="00E260A3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>Moncef RAHMOUNI</w:t>
            </w:r>
          </w:p>
          <w:p w14:paraId="4BE7F04C" w14:textId="77777777" w:rsidR="00BD57CA" w:rsidRDefault="00E260A3">
            <w:pPr>
              <w:spacing w:after="80"/>
            </w:pPr>
            <w:r>
              <w:rPr>
                <w:rFonts w:ascii="Calibri" w:eastAsia="Calibri" w:hAnsi="Calibri" w:cs="Calibri"/>
                <w:color w:val="C8D8E8"/>
                <w:sz w:val="19"/>
                <w:szCs w:val="19"/>
              </w:rPr>
              <w:t>Ingénieur Génie Climatique &amp; Énergétique</w:t>
            </w:r>
          </w:p>
          <w:p w14:paraId="1BFA6CB4" w14:textId="621AC972" w:rsidR="00BD57CA" w:rsidRDefault="00154D81">
            <w:pPr>
              <w:spacing w:after="20"/>
            </w:pPr>
            <w:r>
              <w:rPr>
                <w:rFonts w:ascii="Cambria Math" w:eastAsia="Calibri" w:hAnsi="Cambria Math" w:cs="Cambria Math"/>
                <w:color w:val="A8BCD0"/>
                <w:sz w:val="17"/>
                <w:szCs w:val="17"/>
              </w:rPr>
              <w:t>◎</w:t>
            </w:r>
            <w:r>
              <w:rPr>
                <w:rFonts w:ascii="Calibri" w:eastAsia="Calibri" w:hAnsi="Calibri" w:cs="Calibri"/>
                <w:color w:val="A8BCD0"/>
                <w:sz w:val="17"/>
                <w:szCs w:val="17"/>
              </w:rPr>
              <w:t xml:space="preserve"> 160</w:t>
            </w:r>
            <w:r w:rsidR="00E260A3">
              <w:rPr>
                <w:rFonts w:ascii="Calibri" w:eastAsia="Calibri" w:hAnsi="Calibri" w:cs="Calibri"/>
                <w:color w:val="A8BCD0"/>
                <w:sz w:val="17"/>
                <w:szCs w:val="17"/>
              </w:rPr>
              <w:t xml:space="preserve"> rue Jean Jaurès, 93470 Coubron</w:t>
            </w:r>
          </w:p>
          <w:p w14:paraId="7128E7BD" w14:textId="6032A88E" w:rsidR="00BD57CA" w:rsidRDefault="00154D81">
            <w:pPr>
              <w:spacing w:after="20"/>
            </w:pPr>
            <w:r>
              <w:rPr>
                <w:rFonts w:ascii="Cambria Math" w:eastAsia="Calibri" w:hAnsi="Cambria Math" w:cs="Cambria Math"/>
                <w:color w:val="A8BCD0"/>
                <w:sz w:val="17"/>
                <w:szCs w:val="17"/>
              </w:rPr>
              <w:t>◎</w:t>
            </w:r>
            <w:r>
              <w:rPr>
                <w:rFonts w:ascii="Calibri" w:eastAsia="Calibri" w:hAnsi="Calibri" w:cs="Calibri"/>
                <w:color w:val="A8BCD0"/>
                <w:sz w:val="17"/>
                <w:szCs w:val="17"/>
              </w:rPr>
              <w:t xml:space="preserve"> 06</w:t>
            </w:r>
            <w:r w:rsidR="00E260A3">
              <w:rPr>
                <w:rFonts w:ascii="Calibri" w:eastAsia="Calibri" w:hAnsi="Calibri" w:cs="Calibri"/>
                <w:color w:val="A8BCD0"/>
                <w:sz w:val="17"/>
                <w:szCs w:val="17"/>
              </w:rPr>
              <w:t xml:space="preserve"> 44 23 82 36    </w:t>
            </w:r>
            <w:r>
              <w:rPr>
                <w:rFonts w:ascii="Cambria Math" w:eastAsia="Calibri" w:hAnsi="Cambria Math" w:cs="Cambria Math"/>
                <w:color w:val="A8BCD0"/>
                <w:sz w:val="17"/>
                <w:szCs w:val="17"/>
              </w:rPr>
              <w:t>◎</w:t>
            </w:r>
            <w:r>
              <w:rPr>
                <w:rFonts w:ascii="Calibri" w:eastAsia="Calibri" w:hAnsi="Calibri" w:cs="Calibri"/>
                <w:color w:val="A8BCD0"/>
                <w:sz w:val="17"/>
                <w:szCs w:val="17"/>
              </w:rPr>
              <w:t xml:space="preserve"> lmdd.energie@gmail.com</w:t>
            </w:r>
          </w:p>
          <w:p w14:paraId="494F4043" w14:textId="0569D443" w:rsidR="00BD57CA" w:rsidRDefault="00154D81" w:rsidP="00154D81">
            <w:pPr>
              <w:spacing w:before="6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 xml:space="preserve">  </w:t>
            </w:r>
            <w:r w:rsidR="00E260A3"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>La Maison du Diagnostiqueur (LMDD)</w:t>
            </w:r>
          </w:p>
        </w:tc>
        <w:tc>
          <w:tcPr>
            <w:tcW w:w="3826" w:type="dxa"/>
            <w:shd w:val="clear" w:color="auto" w:fill="1A2F5A"/>
            <w:tcMar>
              <w:top w:w="300" w:type="dxa"/>
              <w:left w:w="280" w:type="dxa"/>
              <w:bottom w:w="300" w:type="dxa"/>
              <w:right w:w="380" w:type="dxa"/>
            </w:tcMar>
            <w:vAlign w:val="center"/>
          </w:tcPr>
          <w:p w14:paraId="006114E6" w14:textId="77777777" w:rsidR="00BD57CA" w:rsidRDefault="00E260A3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56"/>
                <w:szCs w:val="56"/>
              </w:rPr>
              <w:t>Tiers Neutre</w:t>
            </w:r>
          </w:p>
          <w:p w14:paraId="276B64C4" w14:textId="77777777" w:rsidR="00BD57CA" w:rsidRDefault="00E260A3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color w:val="9AB0C4"/>
                <w:sz w:val="17"/>
                <w:szCs w:val="17"/>
              </w:rPr>
              <w:t>« Je marche dans l'entre-deux, pour que l'ombre n'efface personne et que la lumière reste juste. »</w:t>
            </w:r>
          </w:p>
          <w:p w14:paraId="5E05894C" w14:textId="1D38F37B" w:rsidR="00BD57CA" w:rsidRDefault="00E260A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 xml:space="preserve">✓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 xml:space="preserve">Indépendant | </w:t>
            </w:r>
            <w:r w:rsidR="00154D81">
              <w:rPr>
                <w:rFonts w:ascii="Segoe UI Symbol" w:eastAsia="Calibri" w:hAnsi="Segoe UI Symbol" w:cs="Segoe UI Symbol"/>
                <w:b/>
                <w:bCs/>
                <w:color w:val="C9A84C"/>
                <w:sz w:val="16"/>
                <w:szCs w:val="16"/>
              </w:rPr>
              <w:t>✓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 xml:space="preserve"> Expert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 xml:space="preserve">Judiciaire </w:t>
            </w:r>
            <w:proofErr w:type="gramStart"/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>|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 xml:space="preserve">  ✓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9A84C"/>
                <w:sz w:val="16"/>
                <w:szCs w:val="16"/>
              </w:rPr>
              <w:t xml:space="preserve"> Rapports recevables</w:t>
            </w:r>
          </w:p>
        </w:tc>
      </w:tr>
    </w:tbl>
    <w:p w14:paraId="2BEDA226" w14:textId="77777777" w:rsidR="00BD57CA" w:rsidRDefault="00BD57CA">
      <w:pPr>
        <w:spacing w:before="160"/>
      </w:pP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426"/>
      </w:tblGrid>
      <w:tr w:rsidR="00BD57CA" w14:paraId="6FB9DD8E" w14:textId="77777777">
        <w:tc>
          <w:tcPr>
            <w:tcW w:w="3600" w:type="dxa"/>
            <w:tcBorders>
              <w:right w:val="single" w:sz="4" w:space="0" w:color="C8D8E8"/>
            </w:tcBorders>
            <w:shd w:val="clear" w:color="auto" w:fill="F2F4F7"/>
            <w:tcMar>
              <w:top w:w="160" w:type="dxa"/>
              <w:left w:w="320" w:type="dxa"/>
              <w:bottom w:w="160" w:type="dxa"/>
              <w:right w:w="320" w:type="dxa"/>
            </w:tcMar>
          </w:tcPr>
          <w:p w14:paraId="567255AF" w14:textId="77777777" w:rsidR="00BD57CA" w:rsidRDefault="00E260A3">
            <w:pPr>
              <w:pBdr>
                <w:bottom w:val="single" w:sz="10" w:space="3" w:color="1A2F5A"/>
              </w:pBdr>
              <w:spacing w:before="140" w:after="40"/>
            </w:pPr>
            <w:r>
              <w:rPr>
                <w:rFonts w:ascii="Calibri" w:eastAsia="Calibri" w:hAnsi="Calibri" w:cs="Calibri"/>
                <w:b/>
                <w:bCs/>
                <w:caps/>
                <w:color w:val="1A2F5A"/>
                <w:sz w:val="22"/>
                <w:szCs w:val="22"/>
              </w:rPr>
              <w:t>Domaines</w:t>
            </w:r>
          </w:p>
          <w:p w14:paraId="7B4DF828" w14:textId="77777777" w:rsidR="00BD57CA" w:rsidRDefault="00E260A3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E5B9A"/>
              </w:rPr>
              <w:t>Photovoltaïque (PV)</w:t>
            </w:r>
          </w:p>
          <w:p w14:paraId="793611B6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Incendies PV / défauts NF C 15 712</w:t>
            </w:r>
          </w:p>
          <w:p w14:paraId="2A5264A3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Sous-production, mal performance</w:t>
            </w:r>
          </w:p>
          <w:p w14:paraId="35EB7BE2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Défauts d'intégration, infiltrations</w:t>
            </w:r>
          </w:p>
          <w:p w14:paraId="25FC6F8F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Inspection thermographique</w:t>
            </w:r>
          </w:p>
          <w:p w14:paraId="25FC6F90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Analyse DC/AC, protections, onduleurs, raccordement Enedis</w:t>
            </w:r>
          </w:p>
          <w:p w14:paraId="60508E59" w14:textId="77777777" w:rsidR="00BD57CA" w:rsidRDefault="00E260A3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E5B9A"/>
              </w:rPr>
              <w:t>Pompes à Chaleur (PAC)</w:t>
            </w:r>
          </w:p>
          <w:p w14:paraId="0D71DE87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Défaillances &amp; non-conformités</w:t>
            </w:r>
          </w:p>
          <w:p w14:paraId="64728DA0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Litiges installateurs / fabricants</w:t>
            </w:r>
          </w:p>
          <w:p w14:paraId="19B00FE4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Analyse COP réel vs contractuel</w:t>
            </w:r>
          </w:p>
          <w:p w14:paraId="125E4C5D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Thermodynamique appliquée</w:t>
            </w:r>
          </w:p>
          <w:p w14:paraId="46A4378B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DPE contestés, bilan carbone</w:t>
            </w:r>
          </w:p>
          <w:p w14:paraId="24F3AC56" w14:textId="77777777" w:rsidR="00BD57CA" w:rsidRDefault="00E260A3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E5B9A"/>
              </w:rPr>
              <w:t>Pathologies Bâtiment</w:t>
            </w:r>
          </w:p>
          <w:p w14:paraId="332714BE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Humidité, ventilation, condensation</w:t>
            </w:r>
          </w:p>
          <w:p w14:paraId="7D538B05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Désordres thermiques &amp; mise en œuvre</w:t>
            </w:r>
          </w:p>
          <w:p w14:paraId="09094265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Infiltrations &amp; sinistres</w:t>
            </w:r>
          </w:p>
          <w:p w14:paraId="4344CEAB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Audits énergétiques MI, copropriétés</w:t>
            </w:r>
          </w:p>
          <w:p w14:paraId="41B955E1" w14:textId="77777777" w:rsidR="00BD57CA" w:rsidRDefault="00E260A3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E5B9A"/>
              </w:rPr>
              <w:t>Expertise &amp; Judiciaire</w:t>
            </w:r>
          </w:p>
          <w:p w14:paraId="7E2077D2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Rapports contradictoires amiables</w:t>
            </w:r>
          </w:p>
          <w:p w14:paraId="3EA1A063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Tiers neutre &amp; médiation technique</w:t>
            </w:r>
          </w:p>
          <w:p w14:paraId="5992BB6C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Procédures judiciaires</w:t>
            </w:r>
          </w:p>
          <w:p w14:paraId="6D2D06AF" w14:textId="77777777" w:rsidR="00BD57CA" w:rsidRDefault="00BD57CA">
            <w:pPr>
              <w:spacing w:before="100"/>
            </w:pPr>
          </w:p>
          <w:p w14:paraId="7366495A" w14:textId="77777777" w:rsidR="00BD57CA" w:rsidRDefault="00E260A3">
            <w:pPr>
              <w:pBdr>
                <w:bottom w:val="single" w:sz="10" w:space="3" w:color="1A2F5A"/>
              </w:pBdr>
              <w:spacing w:before="140" w:after="40"/>
            </w:pPr>
            <w:r>
              <w:rPr>
                <w:rFonts w:ascii="Calibri" w:eastAsia="Calibri" w:hAnsi="Calibri" w:cs="Calibri"/>
                <w:b/>
                <w:bCs/>
                <w:caps/>
                <w:color w:val="1A2F5A"/>
                <w:sz w:val="22"/>
                <w:szCs w:val="22"/>
              </w:rPr>
              <w:t>Formations</w:t>
            </w:r>
          </w:p>
          <w:p w14:paraId="3619038C" w14:textId="60B949BB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2014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Ingénieur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GCE — INSA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 Strasbourg</w:t>
            </w:r>
          </w:p>
          <w:p w14:paraId="78A9E374" w14:textId="56CF1D34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2023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Expert Énergies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Renouvelables — Bircham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 University</w:t>
            </w:r>
          </w:p>
          <w:p w14:paraId="2887D1ED" w14:textId="5DDF6B2A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2022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QualiPV 500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kWc — CETIH</w:t>
            </w:r>
          </w:p>
          <w:p w14:paraId="7D8D4371" w14:textId="6F9A0DA2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2022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HQE — CSTB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 Paris</w:t>
            </w:r>
          </w:p>
          <w:p w14:paraId="2F6137CB" w14:textId="6161A87D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2021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Auditeur MI – OPQIBI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19.11 — OPQIBI</w:t>
            </w:r>
          </w:p>
          <w:p w14:paraId="3FA63665" w14:textId="11B5E822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2023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Management Énergie &amp;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Audits — AFNOR</w:t>
            </w:r>
          </w:p>
          <w:p w14:paraId="66819DC0" w14:textId="4C767D14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2019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Expert efficacité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énergétique — AFNOR</w:t>
            </w:r>
          </w:p>
          <w:p w14:paraId="158DBF85" w14:textId="1728E52A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2018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Habilitation élec. B0–H2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V — CNFSE</w:t>
            </w:r>
          </w:p>
          <w:p w14:paraId="79F912F3" w14:textId="4A43BB01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2018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Rénovation haute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performance — CSTB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 Paris</w:t>
            </w:r>
          </w:p>
          <w:p w14:paraId="6358F8F9" w14:textId="32A5F292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b/>
                <w:bCs/>
                <w:color w:val="1A2F5A"/>
                <w:sz w:val="18"/>
                <w:szCs w:val="18"/>
              </w:rPr>
              <w:t xml:space="preserve">2025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 xml:space="preserve">DPE Formation </w:t>
            </w:r>
            <w:r w:rsidR="00154D81"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initiale — AFNOR</w:t>
            </w:r>
          </w:p>
          <w:p w14:paraId="67545CAB" w14:textId="77777777" w:rsidR="00BD57CA" w:rsidRDefault="00BD57CA">
            <w:pPr>
              <w:spacing w:before="100"/>
            </w:pPr>
          </w:p>
          <w:p w14:paraId="2A7401C3" w14:textId="77777777" w:rsidR="00BD57CA" w:rsidRDefault="00E260A3">
            <w:pPr>
              <w:pBdr>
                <w:bottom w:val="single" w:sz="10" w:space="3" w:color="1A2F5A"/>
              </w:pBdr>
              <w:spacing w:before="140" w:after="40"/>
            </w:pPr>
            <w:r>
              <w:rPr>
                <w:rFonts w:ascii="Calibri" w:eastAsia="Calibri" w:hAnsi="Calibri" w:cs="Calibri"/>
                <w:b/>
                <w:bCs/>
                <w:caps/>
                <w:color w:val="1A2F5A"/>
                <w:sz w:val="22"/>
                <w:szCs w:val="22"/>
              </w:rPr>
              <w:t>Équipements</w:t>
            </w:r>
          </w:p>
          <w:p w14:paraId="3F74500F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Caméra thermique IR · Vitromètre</w:t>
            </w:r>
          </w:p>
          <w:p w14:paraId="6C302E75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Pyranomètre · Wattmètre</w:t>
            </w:r>
          </w:p>
          <w:p w14:paraId="0F7324A2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Anémomètre · Thermomètre multisondes</w:t>
            </w:r>
          </w:p>
          <w:p w14:paraId="4F512481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Laser volumétrique / surfacique</w:t>
            </w:r>
          </w:p>
          <w:p w14:paraId="76F257E7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lastRenderedPageBreak/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Contrôleur universel · Hab. élec. B0 H2V</w:t>
            </w:r>
          </w:p>
        </w:tc>
        <w:tc>
          <w:tcPr>
            <w:tcW w:w="5426" w:type="dxa"/>
            <w:tcMar>
              <w:top w:w="160" w:type="dxa"/>
              <w:left w:w="400" w:type="dxa"/>
              <w:bottom w:w="160" w:type="dxa"/>
              <w:right w:w="200" w:type="dxa"/>
            </w:tcMar>
          </w:tcPr>
          <w:p w14:paraId="4A234077" w14:textId="77777777" w:rsidR="00BD57CA" w:rsidRDefault="00E260A3">
            <w:pPr>
              <w:pBdr>
                <w:bottom w:val="single" w:sz="10" w:space="3" w:color="1A2F5A"/>
              </w:pBdr>
              <w:spacing w:before="140" w:after="40"/>
            </w:pPr>
            <w:r>
              <w:rPr>
                <w:rFonts w:ascii="Calibri" w:eastAsia="Calibri" w:hAnsi="Calibri" w:cs="Calibri"/>
                <w:b/>
                <w:bCs/>
                <w:caps/>
                <w:color w:val="1A2F5A"/>
                <w:sz w:val="22"/>
                <w:szCs w:val="22"/>
              </w:rPr>
              <w:lastRenderedPageBreak/>
              <w:t>Profil</w:t>
            </w:r>
          </w:p>
          <w:p w14:paraId="456CDF56" w14:textId="77777777" w:rsidR="00BD57CA" w:rsidRDefault="00E260A3">
            <w:pPr>
              <w:spacing w:before="40" w:after="10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Ingénieur indépendant, sans lien commercial avec des entreprises de travaux. Garant de la neutralité technique dans les dossiers sinistres, litiges et expertises contradictoires. Formé à l'Expertise Judiciaire — rapports structurés, recevables en procédure amiable ou judiciaire. Disponible sur toute la France.</w:t>
            </w:r>
          </w:p>
          <w:p w14:paraId="7CC0B25E" w14:textId="77777777" w:rsidR="00BD57CA" w:rsidRDefault="00E260A3">
            <w:pPr>
              <w:pBdr>
                <w:bottom w:val="single" w:sz="10" w:space="3" w:color="1A2F5A"/>
              </w:pBdr>
              <w:spacing w:before="140" w:after="40"/>
            </w:pPr>
            <w:r>
              <w:rPr>
                <w:rFonts w:ascii="Calibri" w:eastAsia="Calibri" w:hAnsi="Calibri" w:cs="Calibri"/>
                <w:b/>
                <w:bCs/>
                <w:caps/>
                <w:color w:val="1A2F5A"/>
                <w:sz w:val="22"/>
                <w:szCs w:val="22"/>
              </w:rPr>
              <w:t>Expérience</w:t>
            </w:r>
          </w:p>
          <w:p w14:paraId="0787AEF9" w14:textId="55A65369" w:rsidR="00BD57CA" w:rsidRDefault="00E260A3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 xml:space="preserve">Depuis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2026 Fondateur</w:t>
            </w:r>
            <w:r>
              <w:rPr>
                <w:rFonts w:ascii="Calibri" w:eastAsia="Calibri" w:hAnsi="Calibri" w:cs="Calibri"/>
                <w:b/>
                <w:bCs/>
                <w:color w:val="1A2F5A"/>
              </w:rPr>
              <w:t xml:space="preserve"> – Expert </w:t>
            </w:r>
            <w:r w:rsidR="00154D81">
              <w:rPr>
                <w:rFonts w:ascii="Calibri" w:eastAsia="Calibri" w:hAnsi="Calibri" w:cs="Calibri"/>
                <w:b/>
                <w:bCs/>
                <w:color w:val="1A2F5A"/>
              </w:rPr>
              <w:t>Indépendant</w:t>
            </w:r>
            <w:r w:rsidR="00154D81"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— La</w:t>
            </w:r>
            <w:r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Maison du Diagnostiqueur (LMDD)</w:t>
            </w:r>
          </w:p>
          <w:p w14:paraId="7B502C71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Pathologies bâtiment, audits énergétiques, litiges PAC/PV</w:t>
            </w:r>
          </w:p>
          <w:p w14:paraId="4DC5EEC6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Avis neutres, expertises contradictoires, participation AFNOR/ENERGEST</w:t>
            </w:r>
          </w:p>
          <w:p w14:paraId="3D66085B" w14:textId="40F28B3A" w:rsidR="00BD57CA" w:rsidRDefault="00E260A3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 xml:space="preserve">2019 –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2025 Directeur</w:t>
            </w:r>
            <w:r>
              <w:rPr>
                <w:rFonts w:ascii="Calibri" w:eastAsia="Calibri" w:hAnsi="Calibri" w:cs="Calibri"/>
                <w:b/>
                <w:bCs/>
                <w:color w:val="1A2F5A"/>
              </w:rPr>
              <w:t xml:space="preserve"> </w:t>
            </w:r>
            <w:r w:rsidR="00154D81">
              <w:rPr>
                <w:rFonts w:ascii="Calibri" w:eastAsia="Calibri" w:hAnsi="Calibri" w:cs="Calibri"/>
                <w:b/>
                <w:bCs/>
                <w:color w:val="1A2F5A"/>
              </w:rPr>
              <w:t>Qualité</w:t>
            </w:r>
            <w:r w:rsidR="00154D81"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— GROUP</w:t>
            </w:r>
            <w:r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MYM</w:t>
            </w:r>
          </w:p>
          <w:p w14:paraId="0E5B7084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Audits énergétiques MI, copropriétés, tertiaire</w:t>
            </w:r>
          </w:p>
          <w:p w14:paraId="64F8292E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Bilans carbone scopes 1-2-3, conformité réglementaire</w:t>
            </w:r>
          </w:p>
          <w:p w14:paraId="1F50B084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Supervision technique &amp; amélioration continue</w:t>
            </w:r>
          </w:p>
          <w:p w14:paraId="75907385" w14:textId="169D90FD" w:rsidR="00BD57CA" w:rsidRDefault="00E260A3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 xml:space="preserve">2017 –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2019 Directeur</w:t>
            </w:r>
            <w:r>
              <w:rPr>
                <w:rFonts w:ascii="Calibri" w:eastAsia="Calibri" w:hAnsi="Calibri" w:cs="Calibri"/>
                <w:b/>
                <w:bCs/>
                <w:color w:val="1A2F5A"/>
              </w:rPr>
              <w:t xml:space="preserve"> </w:t>
            </w:r>
            <w:r w:rsidR="00154D81">
              <w:rPr>
                <w:rFonts w:ascii="Calibri" w:eastAsia="Calibri" w:hAnsi="Calibri" w:cs="Calibri"/>
                <w:b/>
                <w:bCs/>
                <w:color w:val="1A2F5A"/>
              </w:rPr>
              <w:t>Technique</w:t>
            </w:r>
            <w:r w:rsidR="00154D81"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— CAPSOLEIL</w:t>
            </w:r>
            <w:r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Énergie</w:t>
            </w:r>
          </w:p>
          <w:p w14:paraId="41AC9EAA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Supervision chantiers EnR, DPE, gestion litiges SAV</w:t>
            </w:r>
          </w:p>
          <w:p w14:paraId="164FC896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Coordination équipes terrain</w:t>
            </w:r>
          </w:p>
          <w:p w14:paraId="0DCEDA64" w14:textId="6ABE07B8" w:rsidR="00BD57CA" w:rsidRDefault="00E260A3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 xml:space="preserve">2013 –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2017 Responsable</w:t>
            </w:r>
            <w:r>
              <w:rPr>
                <w:rFonts w:ascii="Calibri" w:eastAsia="Calibri" w:hAnsi="Calibri" w:cs="Calibri"/>
                <w:b/>
                <w:bCs/>
                <w:color w:val="1A2F5A"/>
              </w:rPr>
              <w:t xml:space="preserve"> </w:t>
            </w:r>
            <w:r w:rsidR="00154D81">
              <w:rPr>
                <w:rFonts w:ascii="Calibri" w:eastAsia="Calibri" w:hAnsi="Calibri" w:cs="Calibri"/>
                <w:b/>
                <w:bCs/>
                <w:color w:val="1A2F5A"/>
              </w:rPr>
              <w:t>Technique</w:t>
            </w:r>
            <w:r w:rsidR="00154D81"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— CAPSOLEIL</w:t>
            </w:r>
            <w:r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Énergie</w:t>
            </w:r>
          </w:p>
          <w:p w14:paraId="539CF522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Installation &amp; mise en service PV/PAC, diagnostics techniques</w:t>
            </w:r>
          </w:p>
          <w:p w14:paraId="47750C24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Humidité/ventilation, contrôle de conformité</w:t>
            </w:r>
          </w:p>
          <w:p w14:paraId="705FA568" w14:textId="45E84046" w:rsidR="00BD57CA" w:rsidRDefault="00E260A3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 xml:space="preserve">2009 –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2012 Chef</w:t>
            </w:r>
            <w:r>
              <w:rPr>
                <w:rFonts w:ascii="Calibri" w:eastAsia="Calibri" w:hAnsi="Calibri" w:cs="Calibri"/>
                <w:b/>
                <w:bCs/>
                <w:color w:val="1A2F5A"/>
              </w:rPr>
              <w:t xml:space="preserve"> de </w:t>
            </w:r>
            <w:r w:rsidR="00154D81">
              <w:rPr>
                <w:rFonts w:ascii="Calibri" w:eastAsia="Calibri" w:hAnsi="Calibri" w:cs="Calibri"/>
                <w:b/>
                <w:bCs/>
                <w:color w:val="1A2F5A"/>
              </w:rPr>
              <w:t>Région</w:t>
            </w:r>
            <w:r w:rsidR="00154D81"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— Les</w:t>
            </w:r>
            <w:r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Artisans des Énergies</w:t>
            </w:r>
          </w:p>
          <w:p w14:paraId="205968F1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Management équipes techniques, supervision thermique &amp; climatique</w:t>
            </w:r>
          </w:p>
          <w:p w14:paraId="211B973B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Gestion litiges, coordination MOE/MOA</w:t>
            </w:r>
          </w:p>
          <w:p w14:paraId="3A857652" w14:textId="27776ED5" w:rsidR="00BD57CA" w:rsidRDefault="00E260A3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 xml:space="preserve">2001 – </w:t>
            </w:r>
            <w:r w:rsidR="00154D81"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2009 Responsable</w:t>
            </w:r>
            <w:r>
              <w:rPr>
                <w:rFonts w:ascii="Calibri" w:eastAsia="Calibri" w:hAnsi="Calibri" w:cs="Calibri"/>
                <w:b/>
                <w:bCs/>
                <w:color w:val="1A2F5A"/>
              </w:rPr>
              <w:t xml:space="preserve"> de Site de </w:t>
            </w:r>
            <w:r w:rsidR="00154D81">
              <w:rPr>
                <w:rFonts w:ascii="Calibri" w:eastAsia="Calibri" w:hAnsi="Calibri" w:cs="Calibri"/>
                <w:b/>
                <w:bCs/>
                <w:color w:val="1A2F5A"/>
              </w:rPr>
              <w:t>Maintenance</w:t>
            </w:r>
            <w:r w:rsidR="00154D81"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— Innovent</w:t>
            </w:r>
            <w:r>
              <w:rPr>
                <w:rFonts w:ascii="Calibri" w:eastAsia="Calibri" w:hAnsi="Calibri" w:cs="Calibri"/>
                <w:color w:val="2E5B9A"/>
                <w:sz w:val="18"/>
                <w:szCs w:val="18"/>
              </w:rPr>
              <w:t xml:space="preserve"> Énergie</w:t>
            </w:r>
          </w:p>
          <w:p w14:paraId="2D18F0FF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Maintenance préventive &amp; corrective, suivi performances énergétiques</w:t>
            </w:r>
          </w:p>
          <w:p w14:paraId="30E22BDF" w14:textId="77777777" w:rsidR="00BD57CA" w:rsidRDefault="00E260A3">
            <w:pPr>
              <w:spacing w:before="12" w:after="12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3A3A3A"/>
                <w:sz w:val="17"/>
                <w:szCs w:val="17"/>
              </w:rPr>
              <w:t>Encadrement techniciens</w:t>
            </w:r>
          </w:p>
        </w:tc>
      </w:tr>
    </w:tbl>
    <w:p w14:paraId="48757EBB" w14:textId="77777777" w:rsidR="00E260A3" w:rsidRDefault="00E260A3"/>
    <w:sectPr w:rsidR="00E260A3">
      <w:pgSz w:w="11906" w:h="16838"/>
      <w:pgMar w:top="3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D0"/>
    <w:multiLevelType w:val="hybridMultilevel"/>
    <w:tmpl w:val="4E06D34C"/>
    <w:lvl w:ilvl="0" w:tplc="B57268BA">
      <w:start w:val="1"/>
      <w:numFmt w:val="bullet"/>
      <w:lvlText w:val="●"/>
      <w:lvlJc w:val="left"/>
      <w:pPr>
        <w:ind w:left="720" w:hanging="360"/>
      </w:pPr>
    </w:lvl>
    <w:lvl w:ilvl="1" w:tplc="017655EA">
      <w:start w:val="1"/>
      <w:numFmt w:val="bullet"/>
      <w:lvlText w:val="○"/>
      <w:lvlJc w:val="left"/>
      <w:pPr>
        <w:ind w:left="1440" w:hanging="360"/>
      </w:pPr>
    </w:lvl>
    <w:lvl w:ilvl="2" w:tplc="6B96C96C">
      <w:start w:val="1"/>
      <w:numFmt w:val="bullet"/>
      <w:lvlText w:val="■"/>
      <w:lvlJc w:val="left"/>
      <w:pPr>
        <w:ind w:left="2160" w:hanging="360"/>
      </w:pPr>
    </w:lvl>
    <w:lvl w:ilvl="3" w:tplc="C5443FB6">
      <w:start w:val="1"/>
      <w:numFmt w:val="bullet"/>
      <w:lvlText w:val="●"/>
      <w:lvlJc w:val="left"/>
      <w:pPr>
        <w:ind w:left="2880" w:hanging="360"/>
      </w:pPr>
    </w:lvl>
    <w:lvl w:ilvl="4" w:tplc="999444BE">
      <w:start w:val="1"/>
      <w:numFmt w:val="bullet"/>
      <w:lvlText w:val="○"/>
      <w:lvlJc w:val="left"/>
      <w:pPr>
        <w:ind w:left="3600" w:hanging="360"/>
      </w:pPr>
    </w:lvl>
    <w:lvl w:ilvl="5" w:tplc="B7329738">
      <w:start w:val="1"/>
      <w:numFmt w:val="bullet"/>
      <w:lvlText w:val="■"/>
      <w:lvlJc w:val="left"/>
      <w:pPr>
        <w:ind w:left="4320" w:hanging="360"/>
      </w:pPr>
    </w:lvl>
    <w:lvl w:ilvl="6" w:tplc="BF6050D4">
      <w:start w:val="1"/>
      <w:numFmt w:val="bullet"/>
      <w:lvlText w:val="●"/>
      <w:lvlJc w:val="left"/>
      <w:pPr>
        <w:ind w:left="5040" w:hanging="360"/>
      </w:pPr>
    </w:lvl>
    <w:lvl w:ilvl="7" w:tplc="305A5B92">
      <w:start w:val="1"/>
      <w:numFmt w:val="bullet"/>
      <w:lvlText w:val="●"/>
      <w:lvlJc w:val="left"/>
      <w:pPr>
        <w:ind w:left="5760" w:hanging="360"/>
      </w:pPr>
    </w:lvl>
    <w:lvl w:ilvl="8" w:tplc="68A62FA0">
      <w:start w:val="1"/>
      <w:numFmt w:val="bullet"/>
      <w:lvlText w:val="●"/>
      <w:lvlJc w:val="left"/>
      <w:pPr>
        <w:ind w:left="6480" w:hanging="360"/>
      </w:pPr>
    </w:lvl>
  </w:abstractNum>
  <w:num w:numId="1" w16cid:durableId="1299871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CA"/>
    <w:rsid w:val="00154D81"/>
    <w:rsid w:val="005643D0"/>
    <w:rsid w:val="00721257"/>
    <w:rsid w:val="00992EA7"/>
    <w:rsid w:val="00BD57CA"/>
    <w:rsid w:val="00E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AA17"/>
  <w15:docId w15:val="{594CF0B7-6995-469F-A70D-016D0F0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Maison Du  Diagnostiqueur</cp:lastModifiedBy>
  <cp:revision>2</cp:revision>
  <dcterms:created xsi:type="dcterms:W3CDTF">2026-07-01T19:49:00Z</dcterms:created>
  <dcterms:modified xsi:type="dcterms:W3CDTF">2026-07-01T19:49:00Z</dcterms:modified>
</cp:coreProperties>
</file>