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1F4E79"/>
          <w:sz w:val="44"/>
          <w:szCs w:val="44"/>
        </w:rPr>
        <w:t xml:space="preserve">MOHAMED BEN AYED</w:t>
      </w:r>
    </w:p>
    <w:p>
      <w:pPr>
        <w:spacing w:after="140"/>
      </w:pPr>
      <w:r>
        <w:rPr>
          <w:b/>
          <w:bCs/>
          <w:color w:val="595959"/>
          <w:sz w:val="24"/>
          <w:szCs w:val="24"/>
        </w:rPr>
        <w:t xml:space="preserve">Ingénieur Agroéconomiste &amp; Socio-économiste | Spécialiste PAR / EIES &amp; Sauvegardes Sociales (NES5, ESS)</w:t>
      </w:r>
    </w:p>
    <w:p>
      <w:pPr>
        <w:pBdr>
          <w:bottom w:val="single" w:color="1F4E79" w:sz="10" w:space="6"/>
        </w:pBdr>
        <w:spacing w:after="140"/>
      </w:pPr>
      <w:r>
        <w:t xml:space="preserve"/>
      </w:r>
    </w:p>
    <w:p>
      <w:pPr>
        <w:spacing w:after="200"/>
      </w:pPr>
      <w:r>
        <w:rPr>
          <w:color w:val="595959"/>
          <w:sz w:val="19"/>
          <w:szCs w:val="19"/>
        </w:rPr>
        <w:t xml:space="preserve">La Soukra, Tunis, Tunisie   ·   +216 22 984 060   ·   medbenayed80@gmail.com   ·   linkedin.com/in/mohamedben-ayed-096546140</w:t>
      </w:r>
    </w:p>
    <w:p>
      <w:pPr>
        <w:pBdr>
          <w:bottom w:val="single" w:color="1F4E79" w:sz="6" w:space="3"/>
        </w:pBdr>
        <w:spacing w:after="140" w:before="320"/>
      </w:pPr>
      <w:r>
        <w:rPr>
          <w:rFonts w:ascii="Calibri" w:cs="Calibri" w:eastAsia="Calibri" w:hAnsi="Calibri"/>
          <w:b/>
          <w:bCs/>
          <w:color w:val="1F4E79"/>
          <w:sz w:val="24"/>
          <w:szCs w:val="24"/>
        </w:rPr>
        <w:t xml:space="preserve">PROFIL PROFESSIONNEL</w:t>
      </w:r>
    </w:p>
    <w:p>
      <w:pPr>
        <w:spacing w:after="140"/>
      </w:pPr>
      <w:r>
        <w:rPr>
          <w:i w:val="false"/>
          <w:iCs w:val="false"/>
          <w:sz w:val="20"/>
          <w:szCs w:val="20"/>
        </w:rPr>
        <w:t xml:space="preserve">Ingénieur agroéconomiste et socio-économiste tunisien, 8 ans d'expérience dans l'élaboration et la mise en œuvre de Plans d'Action de Réinstallation (PAR), d'Études d'Impact Environnemental et Social (EIES) et de Cadres de Gestion Environnementale et Sociale (CGES/PGES), pour des projets d'infrastructure hydraulique, d'eau potable, d'assainissement et de protection contre les inondations. Expérience directe des référentiels de sauvegardes de la Banque Mondiale (NES5), de la KfW, de la BAD, de la BERD et de l'Union Européenne, sur des projets en Tunisie, à Madagascar et au Mali. Chef de mission depuis 2025 sur la mise en œuvre d'un PAR financé par la KfW.</w:t>
      </w:r>
    </w:p>
    <w:p>
      <w:pPr>
        <w:pBdr>
          <w:bottom w:val="single" w:color="1F4E79" w:sz="6" w:space="3"/>
        </w:pBdr>
        <w:spacing w:after="140" w:before="320"/>
      </w:pPr>
      <w:r>
        <w:rPr>
          <w:rFonts w:ascii="Calibri" w:cs="Calibri" w:eastAsia="Calibri" w:hAnsi="Calibri"/>
          <w:b/>
          <w:bCs/>
          <w:color w:val="1F4E79"/>
          <w:sz w:val="24"/>
          <w:szCs w:val="24"/>
        </w:rPr>
        <w:t xml:space="preserve">COMPÉTENCES CLÉS</w:t>
      </w:r>
    </w:p>
    <w:tbl>
      <w:tblPr>
        <w:tblW w:type="dxa" w:w="9026"/>
        <w:tblBorders>
          <w:top w:val="none"/>
          <w:left w:val="none"/>
          <w:bottom w:val="none"/>
          <w:right w:val="none"/>
          <w:insideH w:val="none"/>
          <w:insideV w:val="none"/>
        </w:tblBorders>
      </w:tblPr>
      <w:tblGrid>
        <w:gridCol w:w="4513"/>
        <w:gridCol w:w="4513"/>
      </w:tblGrid>
      <w:tr>
        <w:tc>
          <w:tcPr>
            <w:tcW w:type="dxa" w:w="4513"/>
            <w:tcBorders>
              <w:top w:val="none"/>
              <w:left w:val="none"/>
              <w:bottom w:val="none"/>
              <w:right w:val="none"/>
            </w:tcBorders>
          </w:tcPr>
          <w:p>
            <w:pPr>
              <w:pStyle w:val="ListParagraph"/>
              <w:numPr>
                <w:ilvl w:val="0"/>
                <w:numId w:val="2"/>
              </w:numPr>
              <w:spacing w:after="60"/>
            </w:pPr>
            <w:r>
              <w:rPr>
                <w:sz w:val="20"/>
                <w:szCs w:val="20"/>
              </w:rPr>
              <w:t xml:space="preserve">Plans d'Action de Réinstallation (PAR / PAT)</w:t>
            </w:r>
          </w:p>
          <w:p>
            <w:pPr>
              <w:pStyle w:val="ListParagraph"/>
              <w:numPr>
                <w:ilvl w:val="0"/>
                <w:numId w:val="2"/>
              </w:numPr>
              <w:spacing w:after="60"/>
            </w:pPr>
            <w:r>
              <w:rPr>
                <w:sz w:val="20"/>
                <w:szCs w:val="20"/>
              </w:rPr>
              <w:t xml:space="preserve">Études d'Impact Environnemental et Social (EIES)</w:t>
            </w:r>
          </w:p>
          <w:p>
            <w:pPr>
              <w:pStyle w:val="ListParagraph"/>
              <w:numPr>
                <w:ilvl w:val="0"/>
                <w:numId w:val="2"/>
              </w:numPr>
              <w:spacing w:after="60"/>
            </w:pPr>
            <w:r>
              <w:rPr>
                <w:sz w:val="20"/>
                <w:szCs w:val="20"/>
              </w:rPr>
              <w:t xml:space="preserve">Sauvegardes environnementales et sociales (NES, ESS)</w:t>
            </w:r>
          </w:p>
          <w:p>
            <w:pPr>
              <w:pStyle w:val="ListParagraph"/>
              <w:numPr>
                <w:ilvl w:val="0"/>
                <w:numId w:val="2"/>
              </w:numPr>
              <w:spacing w:after="60"/>
            </w:pPr>
            <w:r>
              <w:rPr>
                <w:sz w:val="20"/>
                <w:szCs w:val="20"/>
              </w:rPr>
              <w:t xml:space="preserve">Acquisition foncière et indemnisation</w:t>
            </w:r>
          </w:p>
        </w:tc>
        <w:tc>
          <w:tcPr>
            <w:tcW w:type="dxa" w:w="4513"/>
            <w:tcBorders>
              <w:top w:val="none"/>
              <w:left w:val="none"/>
              <w:bottom w:val="none"/>
              <w:right w:val="none"/>
            </w:tcBorders>
          </w:tcPr>
          <w:p>
            <w:pPr>
              <w:pStyle w:val="ListParagraph"/>
              <w:numPr>
                <w:ilvl w:val="0"/>
                <w:numId w:val="2"/>
              </w:numPr>
              <w:spacing w:after="60"/>
            </w:pPr>
            <w:r>
              <w:rPr>
                <w:sz w:val="20"/>
                <w:szCs w:val="20"/>
              </w:rPr>
              <w:t xml:space="preserve">Enquêtes et consultations socio-économiques</w:t>
            </w:r>
          </w:p>
          <w:p>
            <w:pPr>
              <w:pStyle w:val="ListParagraph"/>
              <w:numPr>
                <w:ilvl w:val="0"/>
                <w:numId w:val="2"/>
              </w:numPr>
              <w:spacing w:after="60"/>
            </w:pPr>
            <w:r>
              <w:rPr>
                <w:sz w:val="20"/>
                <w:szCs w:val="20"/>
              </w:rPr>
              <w:t xml:space="preserve">Mécanismes de gestion des plaintes (GRM)</w:t>
            </w:r>
          </w:p>
          <w:p>
            <w:pPr>
              <w:pStyle w:val="ListParagraph"/>
              <w:numPr>
                <w:ilvl w:val="0"/>
                <w:numId w:val="2"/>
              </w:numPr>
              <w:spacing w:after="60"/>
            </w:pPr>
            <w:r>
              <w:rPr>
                <w:sz w:val="20"/>
                <w:szCs w:val="20"/>
              </w:rPr>
              <w:t xml:space="preserve">Formation et renforcement de capacités institutionnelles</w:t>
            </w:r>
          </w:p>
          <w:p>
            <w:pPr>
              <w:pStyle w:val="ListParagraph"/>
              <w:numPr>
                <w:ilvl w:val="0"/>
                <w:numId w:val="2"/>
              </w:numPr>
              <w:spacing w:after="60"/>
            </w:pPr>
            <w:r>
              <w:rPr>
                <w:sz w:val="20"/>
                <w:szCs w:val="20"/>
              </w:rPr>
              <w:t xml:space="preserve">Gestion de mission multi-pays (Tunisie, Madagascar, Mali, RDC)</w:t>
            </w:r>
          </w:p>
        </w:tc>
      </w:tr>
    </w:tbl>
    <w:p>
      <w:pPr>
        <w:pBdr>
          <w:bottom w:val="single" w:color="1F4E79" w:sz="6" w:space="3"/>
        </w:pBdr>
        <w:spacing w:after="140" w:before="320"/>
      </w:pPr>
      <w:r>
        <w:rPr>
          <w:rFonts w:ascii="Calibri" w:cs="Calibri" w:eastAsia="Calibri" w:hAnsi="Calibri"/>
          <w:b/>
          <w:bCs/>
          <w:color w:val="1F4E79"/>
          <w:sz w:val="24"/>
          <w:szCs w:val="24"/>
        </w:rPr>
        <w:t xml:space="preserve">EXPÉRIENCE PROFESSIONNELLE</w:t>
      </w:r>
    </w:p>
    <w:p>
      <w:pPr>
        <w:spacing w:after="20"/>
      </w:pPr>
      <w:r>
        <w:rPr>
          <w:b/>
          <w:bCs/>
          <w:sz w:val="22"/>
          <w:szCs w:val="22"/>
        </w:rPr>
        <w:t xml:space="preserve">SCET-TUNISIE</w:t>
      </w:r>
      <w:r>
        <w:rPr>
          <w:sz w:val="22"/>
          <w:szCs w:val="22"/>
        </w:rPr>
        <w:t xml:space="preserve">  —  Ingénieur Agroéconomiste / Socio-économiste</w:t>
      </w:r>
    </w:p>
    <w:p>
      <w:pPr>
        <w:spacing w:after="160"/>
      </w:pPr>
      <w:r>
        <w:rPr>
          <w:i/>
          <w:iCs/>
          <w:sz w:val="20"/>
          <w:szCs w:val="20"/>
        </w:rPr>
        <w:t xml:space="preserve">Département Environnement, Hydraulique et Agriculture (DEHA)  ·  Septembre 2019 – Présent  ·  Tunis, Tunisie</w:t>
      </w:r>
    </w:p>
    <w:p>
      <w:pPr>
        <w:spacing w:after="40" w:before="100"/>
      </w:pPr>
      <w:r>
        <w:rPr>
          <w:b/>
          <w:bCs/>
          <w:color w:val="1F4E79"/>
          <w:sz w:val="20"/>
          <w:szCs w:val="20"/>
        </w:rPr>
        <w:t xml:space="preserve">2025 – en cours  </w:t>
      </w:r>
      <w:r>
        <w:rPr>
          <w:b/>
          <w:bCs/>
          <w:sz w:val="20"/>
          <w:szCs w:val="20"/>
        </w:rPr>
        <w:t xml:space="preserve">Chef de mission — Mise en œuvre du PAR, zones U1+M et U2</w:t>
      </w:r>
      <w:r>
        <w:rPr>
          <w:sz w:val="20"/>
          <w:szCs w:val="20"/>
        </w:rPr>
        <w:t xml:space="preserve"> — DGBGTH, Ministère de l'Agriculture</w:t>
      </w:r>
      <w:r>
        <w:rPr>
          <w:i/>
          <w:iCs/>
          <w:color w:val="595959"/>
          <w:sz w:val="19"/>
          <w:szCs w:val="19"/>
        </w:rPr>
        <w:t xml:space="preserve">  (Financement : KfW)</w:t>
      </w:r>
    </w:p>
    <w:p>
      <w:pPr>
        <w:pStyle w:val="ListParagraph"/>
        <w:numPr>
          <w:ilvl w:val="0"/>
          <w:numId w:val="2"/>
        </w:numPr>
        <w:spacing w:after="60"/>
      </w:pPr>
      <w:r>
        <w:rPr>
          <w:sz w:val="20"/>
          <w:szCs w:val="20"/>
        </w:rPr>
        <w:t xml:space="preserve">Pilotage opérationnel de la mise en œuvre du plan d'action de réinstallation pour la protection contre les inondations de la Medjerda</w:t>
      </w:r>
    </w:p>
    <w:p>
      <w:pPr>
        <w:spacing w:after="40" w:before="100"/>
      </w:pPr>
      <w:r>
        <w:rPr>
          <w:b/>
          <w:bCs/>
          <w:color w:val="1F4E79"/>
          <w:sz w:val="20"/>
          <w:szCs w:val="20"/>
        </w:rPr>
        <w:t xml:space="preserve">2025 – en cours  </w:t>
      </w:r>
      <w:r>
        <w:rPr>
          <w:b/>
          <w:bCs/>
          <w:sz w:val="20"/>
          <w:szCs w:val="20"/>
        </w:rPr>
        <w:t xml:space="preserve">Ingénieur socio-agro-économiste — EIES et PAR, grands centres Nord</w:t>
      </w:r>
      <w:r>
        <w:rPr>
          <w:sz w:val="20"/>
          <w:szCs w:val="20"/>
        </w:rPr>
        <w:t xml:space="preserve"> — PAAEP Madagascar (Mahajanga, Antsiranana)</w:t>
      </w:r>
      <w:r>
        <w:rPr>
          <w:i/>
          <w:iCs/>
          <w:color w:val="595959"/>
          <w:sz w:val="19"/>
          <w:szCs w:val="19"/>
        </w:rPr>
        <w:t xml:space="preserve">  (Financement : Banque Mondiale)</w:t>
      </w:r>
    </w:p>
    <w:p>
      <w:pPr>
        <w:pStyle w:val="ListParagraph"/>
        <w:numPr>
          <w:ilvl w:val="0"/>
          <w:numId w:val="2"/>
        </w:numPr>
        <w:spacing w:after="60"/>
      </w:pPr>
      <w:r>
        <w:rPr>
          <w:sz w:val="20"/>
          <w:szCs w:val="20"/>
        </w:rPr>
        <w:t xml:space="preserve">Élaboration des EIES et PAR pour un projet d'amélioration de l'accès à l'eau potable de 220 millions USD</w:t>
      </w:r>
    </w:p>
    <w:p>
      <w:pPr>
        <w:spacing w:after="40" w:before="100"/>
      </w:pPr>
      <w:r>
        <w:rPr>
          <w:b/>
          <w:bCs/>
          <w:color w:val="1F4E79"/>
          <w:sz w:val="20"/>
          <w:szCs w:val="20"/>
        </w:rPr>
        <w:t xml:space="preserve">2025  </w:t>
      </w:r>
      <w:r>
        <w:rPr>
          <w:b/>
          <w:bCs/>
          <w:sz w:val="20"/>
          <w:szCs w:val="20"/>
        </w:rPr>
        <w:t xml:space="preserve">Socio-économiste — EIES</w:t>
      </w:r>
      <w:r>
        <w:rPr>
          <w:sz w:val="20"/>
          <w:szCs w:val="20"/>
        </w:rPr>
        <w:t xml:space="preserve"> — Projet d'Appui à l'Économie Bleue et aux Chaînes de Valeurs de la Pêche, Madagascar</w:t>
      </w:r>
      <w:r>
        <w:rPr>
          <w:i/>
          <w:iCs/>
          <w:color w:val="595959"/>
          <w:sz w:val="19"/>
          <w:szCs w:val="19"/>
        </w:rPr>
        <w:t xml:space="preserve">  (Financement : BAD)</w:t>
      </w:r>
    </w:p>
    <w:p>
      <w:pPr>
        <w:spacing w:after="40" w:before="100"/>
      </w:pPr>
      <w:r>
        <w:rPr>
          <w:b/>
          <w:bCs/>
          <w:color w:val="1F4E79"/>
          <w:sz w:val="20"/>
          <w:szCs w:val="20"/>
        </w:rPr>
        <w:t xml:space="preserve">2024 – en cours  </w:t>
      </w:r>
      <w:r>
        <w:rPr>
          <w:b/>
          <w:bCs/>
          <w:sz w:val="20"/>
          <w:szCs w:val="20"/>
        </w:rPr>
        <w:t xml:space="preserve">Socio-économiste Chargé d'affaire — Formation théorique et pratique</w:t>
      </w:r>
      <w:r>
        <w:rPr>
          <w:sz w:val="20"/>
          <w:szCs w:val="20"/>
        </w:rPr>
        <w:t xml:space="preserve"> — ONAS, Tunisie</w:t>
      </w:r>
      <w:r>
        <w:rPr>
          <w:i/>
          <w:iCs/>
          <w:color w:val="595959"/>
          <w:sz w:val="19"/>
          <w:szCs w:val="19"/>
        </w:rPr>
        <w:t xml:space="preserve">  (Financement : KfW)</w:t>
      </w:r>
    </w:p>
    <w:p>
      <w:pPr>
        <w:pStyle w:val="ListParagraph"/>
        <w:numPr>
          <w:ilvl w:val="0"/>
          <w:numId w:val="2"/>
        </w:numPr>
        <w:spacing w:after="60"/>
      </w:pPr>
      <w:r>
        <w:rPr>
          <w:sz w:val="20"/>
          <w:szCs w:val="20"/>
        </w:rPr>
        <w:t xml:space="preserve">Conception et animation d'une formation sur l'acquisition, l'expropriation et l'indemnisation des terrains, incluant l'élaboration de Plans d'Acquisition des Terrains (PAT)</w:t>
      </w:r>
    </w:p>
    <w:p>
      <w:pPr>
        <w:spacing w:after="40" w:before="100"/>
      </w:pPr>
      <w:r>
        <w:rPr>
          <w:b/>
          <w:bCs/>
          <w:color w:val="1F4E79"/>
          <w:sz w:val="20"/>
          <w:szCs w:val="20"/>
        </w:rPr>
        <w:t xml:space="preserve">2024  </w:t>
      </w:r>
      <w:r>
        <w:rPr>
          <w:b/>
          <w:bCs/>
          <w:sz w:val="20"/>
          <w:szCs w:val="20"/>
        </w:rPr>
        <w:t xml:space="preserve">Agroéconomiste — Étude de faisabilité (desserte en eau potable, horizon 2050)</w:t>
      </w:r>
      <w:r>
        <w:rPr>
          <w:sz w:val="20"/>
          <w:szCs w:val="20"/>
        </w:rPr>
        <w:t xml:space="preserve"> — DGBGTH, gouvernorats de Siliana et du Kef</w:t>
      </w:r>
      <w:r>
        <w:rPr>
          <w:i/>
          <w:iCs/>
          <w:color w:val="595959"/>
          <w:sz w:val="19"/>
          <w:szCs w:val="19"/>
        </w:rPr>
        <w:t xml:space="preserve">  (Financement : Budget national)</w:t>
      </w:r>
    </w:p>
    <w:p>
      <w:pPr>
        <w:spacing w:after="40" w:before="100"/>
      </w:pPr>
      <w:r>
        <w:rPr>
          <w:b/>
          <w:bCs/>
          <w:color w:val="1F4E79"/>
          <w:sz w:val="20"/>
          <w:szCs w:val="20"/>
        </w:rPr>
        <w:t xml:space="preserve">2023 – 2024  </w:t>
      </w:r>
      <w:r>
        <w:rPr>
          <w:b/>
          <w:bCs/>
          <w:sz w:val="20"/>
          <w:szCs w:val="20"/>
        </w:rPr>
        <w:t xml:space="preserve">Socio-économiste — Élaboration du PAR</w:t>
      </w:r>
      <w:r>
        <w:rPr>
          <w:sz w:val="20"/>
          <w:szCs w:val="20"/>
        </w:rPr>
        <w:t xml:space="preserve"> — DGBGTH — Protection contre les inondations de la Medjerda, zone U1+M (barrage Sidi Salem)</w:t>
      </w:r>
      <w:r>
        <w:rPr>
          <w:i/>
          <w:iCs/>
          <w:color w:val="595959"/>
          <w:sz w:val="19"/>
          <w:szCs w:val="19"/>
        </w:rPr>
        <w:t xml:space="preserve">  (Financement : KfW)</w:t>
      </w:r>
    </w:p>
    <w:p>
      <w:pPr>
        <w:pStyle w:val="ListParagraph"/>
        <w:numPr>
          <w:ilvl w:val="0"/>
          <w:numId w:val="2"/>
        </w:numPr>
        <w:spacing w:after="60"/>
      </w:pPr>
      <w:r>
        <w:rPr>
          <w:sz w:val="20"/>
          <w:szCs w:val="20"/>
        </w:rPr>
        <w:t xml:space="preserve">PAR conforme aux normes environnementales et sociales de la Banque Mondiale</w:t>
      </w:r>
    </w:p>
    <w:p>
      <w:pPr>
        <w:spacing w:after="40" w:before="100"/>
      </w:pPr>
      <w:r>
        <w:rPr>
          <w:b/>
          <w:bCs/>
          <w:color w:val="1F4E79"/>
          <w:sz w:val="20"/>
          <w:szCs w:val="20"/>
        </w:rPr>
        <w:t xml:space="preserve">2023  </w:t>
      </w:r>
      <w:r>
        <w:rPr>
          <w:b/>
          <w:bCs/>
          <w:sz w:val="20"/>
          <w:szCs w:val="20"/>
        </w:rPr>
        <w:t xml:space="preserve">Socio-économiste — Élaboration du CGES et du Cadre d'Engagement des Parties Prenantes</w:t>
      </w:r>
      <w:r>
        <w:rPr>
          <w:sz w:val="20"/>
          <w:szCs w:val="20"/>
        </w:rPr>
        <w:t xml:space="preserve"> — SONEDE — Programme d'Amélioration des Performances (7 districts)</w:t>
      </w:r>
      <w:r>
        <w:rPr>
          <w:i/>
          <w:iCs/>
          <w:color w:val="595959"/>
          <w:sz w:val="19"/>
          <w:szCs w:val="19"/>
        </w:rPr>
        <w:t xml:space="preserve">  (Financement : KfW)</w:t>
      </w:r>
    </w:p>
    <w:p>
      <w:pPr>
        <w:spacing w:after="40" w:before="100"/>
      </w:pPr>
      <w:r>
        <w:rPr>
          <w:b/>
          <w:bCs/>
          <w:color w:val="1F4E79"/>
          <w:sz w:val="20"/>
          <w:szCs w:val="20"/>
        </w:rPr>
        <w:t xml:space="preserve">2023 – en cours  </w:t>
      </w:r>
      <w:r>
        <w:rPr>
          <w:b/>
          <w:bCs/>
          <w:sz w:val="20"/>
          <w:szCs w:val="20"/>
        </w:rPr>
        <w:t xml:space="preserve">Socio-économiste — Consultations publiques, conformité procédures ESSS</w:t>
      </w:r>
      <w:r>
        <w:rPr>
          <w:sz w:val="20"/>
          <w:szCs w:val="20"/>
        </w:rPr>
        <w:t xml:space="preserve"> — ONAS — Programme d'Assainissement pour petites agglomérations (33 communes, 19 gouvernorats)</w:t>
      </w:r>
      <w:r>
        <w:rPr>
          <w:i/>
          <w:iCs/>
          <w:color w:val="595959"/>
          <w:sz w:val="19"/>
          <w:szCs w:val="19"/>
        </w:rPr>
        <w:t xml:space="preserve">  (Financement : BAD / BERD)</w:t>
      </w:r>
    </w:p>
    <w:p>
      <w:pPr>
        <w:spacing w:after="80" w:before="160"/>
      </w:pPr>
      <w:r>
        <w:rPr>
          <w:b/>
          <w:bCs/>
          <w:i/>
          <w:iCs/>
          <w:color w:val="595959"/>
          <w:sz w:val="20"/>
          <w:szCs w:val="20"/>
        </w:rPr>
        <w:t xml:space="preserve">Missions antérieures (2017 – 2022)</w:t>
      </w:r>
    </w:p>
    <w:p>
      <w:pPr>
        <w:pStyle w:val="ListParagraph"/>
        <w:numPr>
          <w:ilvl w:val="0"/>
          <w:numId w:val="3"/>
        </w:numPr>
        <w:spacing w:after="40"/>
      </w:pPr>
      <w:r>
        <w:rPr>
          <w:sz w:val="19"/>
          <w:szCs w:val="19"/>
        </w:rPr>
        <w:t xml:space="preserve">2022 | Socio-économiste — EIES, étude de faisabilité liaison Djerba–continent (Djorf) — DGPC (État tunisien)</w:t>
      </w:r>
    </w:p>
    <w:p>
      <w:pPr>
        <w:pStyle w:val="ListParagraph"/>
        <w:numPr>
          <w:ilvl w:val="0"/>
          <w:numId w:val="3"/>
        </w:numPr>
        <w:spacing w:after="40"/>
      </w:pPr>
      <w:r>
        <w:rPr>
          <w:sz w:val="19"/>
          <w:szCs w:val="19"/>
        </w:rPr>
        <w:t xml:space="preserve">2022 | Socio-économiste — EIES patrimoniale et plan de mobilisation des parties prenantes (NES n°10 BM), Musée de Carthage — Expertise France (Union Européenne)</w:t>
      </w:r>
    </w:p>
    <w:p>
      <w:pPr>
        <w:pStyle w:val="ListParagraph"/>
        <w:numPr>
          <w:ilvl w:val="0"/>
          <w:numId w:val="3"/>
        </w:numPr>
        <w:spacing w:after="40"/>
      </w:pPr>
      <w:r>
        <w:rPr>
          <w:sz w:val="19"/>
          <w:szCs w:val="19"/>
        </w:rPr>
        <w:t xml:space="preserve">2021 | Socio-économiste — Enquêtes et consultations socio-économiques, réutilisation des eaux usées traitées, Mahdia — ONAS (KfW)</w:t>
      </w:r>
    </w:p>
    <w:p>
      <w:pPr>
        <w:pStyle w:val="ListParagraph"/>
        <w:numPr>
          <w:ilvl w:val="0"/>
          <w:numId w:val="3"/>
        </w:numPr>
        <w:spacing w:after="40"/>
      </w:pPr>
      <w:r>
        <w:rPr>
          <w:sz w:val="19"/>
          <w:szCs w:val="19"/>
        </w:rPr>
        <w:t xml:space="preserve">2021 | Socio-économiste — EIES et PGES, réhabilitation du Canal Laaroussia — CRDA Manouba (KfW)</w:t>
      </w:r>
    </w:p>
    <w:p>
      <w:pPr>
        <w:pStyle w:val="ListParagraph"/>
        <w:numPr>
          <w:ilvl w:val="0"/>
          <w:numId w:val="3"/>
        </w:numPr>
        <w:spacing w:after="40"/>
      </w:pPr>
      <w:r>
        <w:rPr>
          <w:sz w:val="19"/>
          <w:szCs w:val="19"/>
        </w:rPr>
        <w:t xml:space="preserve">2021 | Socio-économiste — PGES, PIAIT (PPI Djebba, Medjez El Bab, Testour) — CRDA Béja (Banque Mondiale)</w:t>
      </w:r>
    </w:p>
    <w:p>
      <w:pPr>
        <w:pStyle w:val="ListParagraph"/>
        <w:numPr>
          <w:ilvl w:val="0"/>
          <w:numId w:val="3"/>
        </w:numPr>
        <w:spacing w:after="40"/>
      </w:pPr>
      <w:r>
        <w:rPr>
          <w:sz w:val="19"/>
          <w:szCs w:val="19"/>
        </w:rPr>
        <w:t xml:space="preserve">2020 | Socio-économiste — CGES, Programme de Protection du Littoral Tunisien, Phase 4 — APAL (KfW)</w:t>
      </w:r>
    </w:p>
    <w:p>
      <w:pPr>
        <w:pStyle w:val="ListParagraph"/>
        <w:numPr>
          <w:ilvl w:val="0"/>
          <w:numId w:val="3"/>
        </w:numPr>
        <w:spacing w:after="40"/>
      </w:pPr>
      <w:r>
        <w:rPr>
          <w:sz w:val="19"/>
          <w:szCs w:val="19"/>
        </w:rPr>
        <w:t xml:space="preserve">2019 | Socio-économiste — Consultations publiques, AEP villes secondaires (Koulikoro, Ségou, San, Mopti-Sévaré, Bandiagara) — SOMAPEP-SA, Mali (AFD)</w:t>
      </w:r>
    </w:p>
    <w:p>
      <w:pPr>
        <w:pStyle w:val="ListParagraph"/>
        <w:numPr>
          <w:ilvl w:val="0"/>
          <w:numId w:val="3"/>
        </w:numPr>
        <w:spacing w:after="40"/>
      </w:pPr>
      <w:r>
        <w:rPr>
          <w:sz w:val="19"/>
          <w:szCs w:val="19"/>
        </w:rPr>
        <w:t xml:space="preserve">2019 (nov.) | Agroéconomiste — EIES, protection contre les inondations de la Medjerda, zone U2 — DGBGTH (KfW)</w:t>
      </w:r>
    </w:p>
    <w:p>
      <w:pPr>
        <w:pStyle w:val="ListParagraph"/>
        <w:numPr>
          <w:ilvl w:val="0"/>
          <w:numId w:val="3"/>
        </w:numPr>
        <w:spacing w:after="40"/>
      </w:pPr>
      <w:r>
        <w:rPr>
          <w:sz w:val="19"/>
          <w:szCs w:val="19"/>
        </w:rPr>
        <w:t xml:space="preserve">2018 | Agroéconomiste — EIES, étude préparatoire barrage Raghai — DGBGTH (KfW / Banque Mondiale)</w:t>
      </w:r>
    </w:p>
    <w:p>
      <w:pPr>
        <w:pStyle w:val="ListParagraph"/>
        <w:numPr>
          <w:ilvl w:val="0"/>
          <w:numId w:val="3"/>
        </w:numPr>
        <w:spacing w:after="40"/>
      </w:pPr>
      <w:r>
        <w:rPr>
          <w:sz w:val="19"/>
          <w:szCs w:val="19"/>
        </w:rPr>
        <w:t xml:space="preserve">2017 – 2018 | Agroéconomiste — EIES, protection contre les inondations de la Medjerda, zone U1+M — DGBGTH (KfW)</w:t>
      </w:r>
    </w:p>
    <w:p>
      <w:pPr>
        <w:pStyle w:val="ListParagraph"/>
        <w:numPr>
          <w:ilvl w:val="0"/>
          <w:numId w:val="3"/>
        </w:numPr>
        <w:spacing w:after="40"/>
      </w:pPr>
      <w:r>
        <w:rPr>
          <w:sz w:val="19"/>
          <w:szCs w:val="19"/>
        </w:rPr>
        <w:t xml:space="preserve">2018 | Ingénieur Agroéconomiste — Étude socio-économique participative, quartiers El Khadra-Wafa, Sfax</w:t>
      </w:r>
    </w:p>
    <w:p>
      <w:pPr>
        <w:pStyle w:val="ListParagraph"/>
        <w:numPr>
          <w:ilvl w:val="0"/>
          <w:numId w:val="3"/>
        </w:numPr>
        <w:spacing w:after="40"/>
      </w:pPr>
      <w:r>
        <w:rPr>
          <w:sz w:val="19"/>
          <w:szCs w:val="19"/>
        </w:rPr>
        <w:t xml:space="preserve">2018 | Ingénieur Agroéconomiste — Étude sociale, développement urbain et résilience de Kinshasa, RDC</w:t>
      </w:r>
    </w:p>
    <w:p>
      <w:pPr>
        <w:spacing w:after="20" w:before="220"/>
      </w:pPr>
      <w:r>
        <w:rPr>
          <w:b/>
          <w:bCs/>
          <w:sz w:val="22"/>
          <w:szCs w:val="22"/>
        </w:rPr>
        <w:t xml:space="preserve">SOTUEC</w:t>
      </w:r>
      <w:r>
        <w:rPr>
          <w:sz w:val="22"/>
          <w:szCs w:val="22"/>
        </w:rPr>
        <w:t xml:space="preserve">  —  Ingénieur Agroéconomiste</w:t>
      </w:r>
    </w:p>
    <w:p>
      <w:pPr>
        <w:spacing w:after="100"/>
      </w:pPr>
      <w:r>
        <w:rPr>
          <w:i/>
          <w:iCs/>
          <w:sz w:val="20"/>
          <w:szCs w:val="20"/>
        </w:rPr>
        <w:t xml:space="preserve">2018 – 2019  ·  Tunisie</w:t>
      </w:r>
    </w:p>
    <w:p>
      <w:pPr>
        <w:pStyle w:val="ListParagraph"/>
        <w:numPr>
          <w:ilvl w:val="0"/>
          <w:numId w:val="2"/>
        </w:numPr>
        <w:spacing w:after="60"/>
      </w:pPr>
      <w:r>
        <w:rPr>
          <w:sz w:val="20"/>
          <w:szCs w:val="20"/>
        </w:rPr>
        <w:t xml:space="preserve">Élaboration, dépouillement et analyse de données d'enquêtes socio-économiques</w:t>
      </w:r>
    </w:p>
    <w:p>
      <w:pPr>
        <w:pBdr>
          <w:bottom w:val="single" w:color="1F4E79" w:sz="6" w:space="3"/>
        </w:pBdr>
        <w:spacing w:after="140" w:before="320"/>
      </w:pPr>
      <w:r>
        <w:rPr>
          <w:rFonts w:ascii="Calibri" w:cs="Calibri" w:eastAsia="Calibri" w:hAnsi="Calibri"/>
          <w:b/>
          <w:bCs/>
          <w:color w:val="1F4E79"/>
          <w:sz w:val="24"/>
          <w:szCs w:val="24"/>
        </w:rPr>
        <w:t xml:space="preserve">FORMATION</w:t>
      </w:r>
    </w:p>
    <w:p>
      <w:pPr>
        <w:spacing w:after="20"/>
      </w:pPr>
      <w:r>
        <w:rPr>
          <w:b/>
          <w:bCs/>
          <w:color w:val="1F4E79"/>
          <w:sz w:val="20"/>
          <w:szCs w:val="20"/>
        </w:rPr>
        <w:t xml:space="preserve">2016  </w:t>
      </w:r>
      <w:r>
        <w:rPr>
          <w:b/>
          <w:bCs/>
          <w:sz w:val="20"/>
          <w:szCs w:val="20"/>
        </w:rPr>
        <w:t xml:space="preserve">Diplôme national d'ingénieur — Économie Rurale, option Développement et Management des Projets (DMP)</w:t>
      </w:r>
    </w:p>
    <w:p>
      <w:pPr>
        <w:spacing w:after="160"/>
      </w:pPr>
      <w:r>
        <w:rPr>
          <w:i/>
          <w:iCs/>
          <w:sz w:val="20"/>
          <w:szCs w:val="20"/>
        </w:rPr>
        <w:t xml:space="preserve">École Supérieure d'Agriculture de Mograne (ESA Mograne)</w:t>
      </w:r>
    </w:p>
    <w:p>
      <w:pPr>
        <w:spacing w:after="20"/>
      </w:pPr>
      <w:r>
        <w:rPr>
          <w:b/>
          <w:bCs/>
          <w:color w:val="1F4E79"/>
          <w:sz w:val="20"/>
          <w:szCs w:val="20"/>
        </w:rPr>
        <w:t xml:space="preserve">2013  </w:t>
      </w:r>
      <w:r>
        <w:rPr>
          <w:b/>
          <w:bCs/>
          <w:sz w:val="20"/>
          <w:szCs w:val="20"/>
        </w:rPr>
        <w:t xml:space="preserve">Admis au Concours National d'accès aux écoles d'ingénieurs</w:t>
      </w:r>
    </w:p>
    <w:p>
      <w:pPr>
        <w:spacing w:after="100"/>
      </w:pPr>
      <w:r>
        <w:rPr>
          <w:i/>
          <w:iCs/>
          <w:sz w:val="20"/>
          <w:szCs w:val="20"/>
        </w:rPr>
        <w:t xml:space="preserve">Institut Supérieur des Études Préparatoires en Biologie Géologie, La Soukra — Université Libre de Tunis</w:t>
      </w:r>
    </w:p>
    <w:p>
      <w:pPr>
        <w:pBdr>
          <w:bottom w:val="single" w:color="1F4E79" w:sz="6" w:space="3"/>
        </w:pBdr>
        <w:spacing w:after="140" w:before="320"/>
      </w:pPr>
      <w:r>
        <w:rPr>
          <w:rFonts w:ascii="Calibri" w:cs="Calibri" w:eastAsia="Calibri" w:hAnsi="Calibri"/>
          <w:b/>
          <w:bCs/>
          <w:color w:val="1F4E79"/>
          <w:sz w:val="24"/>
          <w:szCs w:val="24"/>
        </w:rPr>
        <w:t xml:space="preserve">LANGUES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Mar>
              <w:top w:type="dxa" w:w="60"/>
              <w:left w:type="dxa" w:w="100"/>
              <w:bottom w:type="dxa" w:w="60"/>
              <w:right w:type="dxa" w:w="100"/>
            </w:tcMar>
          </w:tcPr>
          <w:p>
            <w:r>
              <w:rPr>
                <w:b/>
                <w:bCs/>
                <w:sz w:val="20"/>
                <w:szCs w:val="20"/>
              </w:rPr>
              <w:t xml:space="preserve">Français</w:t>
            </w:r>
          </w:p>
        </w:tc>
        <w:tc>
          <w:tcPr>
            <w:tcW w:type="dxa" w:w="6826"/>
            <w:tcMar>
              <w:top w:type="dxa" w:w="60"/>
              <w:left w:type="dxa" w:w="100"/>
              <w:bottom w:type="dxa" w:w="60"/>
              <w:right w:type="dxa" w:w="100"/>
            </w:tcMar>
          </w:tcPr>
          <w:p>
            <w:r>
              <w:rPr>
                <w:sz w:val="20"/>
                <w:szCs w:val="20"/>
              </w:rPr>
              <w:t xml:space="preserve">Lu : Excellent   ·   Écrit : Excellent   ·   Parlé : Excellent</w:t>
            </w:r>
          </w:p>
        </w:tc>
      </w:tr>
      <w:tr>
        <w:tc>
          <w:tcPr>
            <w:tcW w:type="dxa" w:w="2200"/>
            <w:tcMar>
              <w:top w:type="dxa" w:w="60"/>
              <w:left w:type="dxa" w:w="100"/>
              <w:bottom w:type="dxa" w:w="60"/>
              <w:right w:type="dxa" w:w="100"/>
            </w:tcMar>
          </w:tcPr>
          <w:p>
            <w:r>
              <w:rPr>
                <w:b/>
                <w:bCs/>
                <w:sz w:val="20"/>
                <w:szCs w:val="20"/>
              </w:rPr>
              <w:t xml:space="preserve">Anglais</w:t>
            </w:r>
          </w:p>
        </w:tc>
        <w:tc>
          <w:tcPr>
            <w:tcW w:type="dxa" w:w="6826"/>
            <w:tcMar>
              <w:top w:type="dxa" w:w="60"/>
              <w:left w:type="dxa" w:w="100"/>
              <w:bottom w:type="dxa" w:w="60"/>
              <w:right w:type="dxa" w:w="100"/>
            </w:tcMar>
          </w:tcPr>
          <w:p>
            <w:r>
              <w:rPr>
                <w:sz w:val="20"/>
                <w:szCs w:val="20"/>
              </w:rPr>
              <w:t xml:space="preserve">Lu : Bon   ·   Écrit : Bon   ·   Parlé : Moyen</w:t>
            </w:r>
          </w:p>
        </w:tc>
      </w:tr>
      <w:tr>
        <w:tc>
          <w:tcPr>
            <w:tcW w:type="dxa" w:w="2200"/>
            <w:tcMar>
              <w:top w:type="dxa" w:w="60"/>
              <w:left w:type="dxa" w:w="100"/>
              <w:bottom w:type="dxa" w:w="60"/>
              <w:right w:type="dxa" w:w="100"/>
            </w:tcMar>
          </w:tcPr>
          <w:p>
            <w:r>
              <w:rPr>
                <w:b/>
                <w:bCs/>
                <w:sz w:val="20"/>
                <w:szCs w:val="20"/>
              </w:rPr>
              <w:t xml:space="preserve">Arabe</w:t>
            </w:r>
          </w:p>
        </w:tc>
        <w:tc>
          <w:tcPr>
            <w:tcW w:type="dxa" w:w="6826"/>
            <w:tcMar>
              <w:top w:type="dxa" w:w="60"/>
              <w:left w:type="dxa" w:w="100"/>
              <w:bottom w:type="dxa" w:w="60"/>
              <w:right w:type="dxa" w:w="100"/>
            </w:tcMar>
          </w:tcPr>
          <w:p>
            <w:r>
              <w:rPr>
                <w:sz w:val="20"/>
                <w:szCs w:val="20"/>
              </w:rPr>
              <w:t xml:space="preserve">Langue maternelle</w:t>
            </w:r>
          </w:p>
        </w:tc>
      </w:tr>
    </w:tbl>
    <w:p>
      <w:pPr>
        <w:pBdr>
          <w:bottom w:val="single" w:color="1F4E79" w:sz="6" w:space="3"/>
        </w:pBdr>
        <w:spacing w:after="140" w:before="320"/>
      </w:pPr>
      <w:r>
        <w:rPr>
          <w:rFonts w:ascii="Calibri" w:cs="Calibri" w:eastAsia="Calibri" w:hAnsi="Calibri"/>
          <w:b/>
          <w:bCs/>
          <w:color w:val="1F4E79"/>
          <w:sz w:val="24"/>
          <w:szCs w:val="24"/>
        </w:rPr>
        <w:t xml:space="preserve">AFFILIATIONS PROFESSIONNELLES</w:t>
      </w:r>
    </w:p>
    <w:p>
      <w:pPr>
        <w:spacing w:after="100"/>
      </w:pPr>
      <w:r>
        <w:rPr>
          <w:i w:val="false"/>
          <w:iCs w:val="false"/>
          <w:sz w:val="20"/>
          <w:szCs w:val="20"/>
        </w:rPr>
        <w:t xml:space="preserve">Membre de l'Ordre des Ingénieurs Tunisiens</w:t>
      </w:r>
    </w:p>
    <w:sectPr>
      <w:pgSz w:w="11906" w:h="16838" w:orient="portrait"/>
      <w:pgMar w:top="900" w:right="1000" w:bottom="9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20" w:hanging="220"/>
      </w:pPr>
    </w:lvl>
  </w:abstractNum>
  <w:abstractNum w:abstractNumId="3" w15:restartNumberingAfterBreak="0">
    <w:multiLevelType w:val="hybridMultilevel"/>
    <w:lvl w:ilvl="0" w15:tentative="1">
      <w:start w:val="1"/>
      <w:numFmt w:val="bullet"/>
      <w:lvlText w:val="–"/>
      <w:lvlJc w:val="left"/>
      <w:pPr>
        <w:ind w:left="260" w:hanging="1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2026-07-13T10:19:44.434Z</dcterms:created>
  <dcterms:modified xsi:type="dcterms:W3CDTF">2026-07-13T10:19:44.483Z</dcterms:modified>
</cp:coreProperties>
</file>

<file path=docProps/custom.xml><?xml version="1.0" encoding="utf-8"?>
<Properties xmlns="http://schemas.openxmlformats.org/officeDocument/2006/custom-properties" xmlns:vt="http://schemas.openxmlformats.org/officeDocument/2006/docPropsVTypes"/>
</file>