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BBB3" w14:textId="3F3F4366" w:rsidR="008C16E4" w:rsidRPr="0028469A" w:rsidRDefault="00A218AB">
      <w:pPr>
        <w:rPr>
          <w:lang w:val="en-US"/>
        </w:rPr>
      </w:pPr>
      <w:r>
        <w:rPr>
          <w:noProof/>
        </w:rPr>
        <mc:AlternateContent>
          <mc:Choice Requires="wps">
            <w:drawing>
              <wp:anchor distT="45720" distB="45720" distL="114300" distR="114300" simplePos="0" relativeHeight="251659264" behindDoc="0" locked="0" layoutInCell="1" allowOverlap="1" wp14:anchorId="395AA449" wp14:editId="6A022746">
                <wp:simplePos x="0" y="0"/>
                <wp:positionH relativeFrom="margin">
                  <wp:posOffset>906145</wp:posOffset>
                </wp:positionH>
                <wp:positionV relativeFrom="paragraph">
                  <wp:posOffset>0</wp:posOffset>
                </wp:positionV>
                <wp:extent cx="4998085" cy="632460"/>
                <wp:effectExtent l="0" t="0" r="0" b="0"/>
                <wp:wrapSquare wrapText="bothSides"/>
                <wp:docPr id="8338225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085" cy="632460"/>
                        </a:xfrm>
                        <a:prstGeom prst="rect">
                          <a:avLst/>
                        </a:prstGeom>
                        <a:solidFill>
                          <a:schemeClr val="tx2">
                            <a:lumMod val="10000"/>
                            <a:lumOff val="90000"/>
                          </a:schemeClr>
                        </a:solidFill>
                        <a:ln w="9525">
                          <a:noFill/>
                          <a:miter lim="800000"/>
                          <a:headEnd/>
                          <a:tailEnd/>
                        </a:ln>
                      </wps:spPr>
                      <wps:txbx>
                        <w:txbxContent>
                          <w:p w14:paraId="686FDDE3" w14:textId="02A970A2" w:rsidR="002A5BC7" w:rsidRPr="00FC4545" w:rsidRDefault="001D5E2D" w:rsidP="007834C2">
                            <w:pPr>
                              <w:spacing w:after="0"/>
                              <w:jc w:val="center"/>
                              <w:rPr>
                                <w:b/>
                                <w:bCs/>
                                <w:color w:val="000000" w:themeColor="text1"/>
                                <w:sz w:val="24"/>
                                <w:szCs w:val="24"/>
                              </w:rPr>
                            </w:pPr>
                            <w:r>
                              <w:rPr>
                                <w:b/>
                                <w:bCs/>
                                <w:color w:val="000000" w:themeColor="text1"/>
                                <w:sz w:val="24"/>
                                <w:szCs w:val="24"/>
                              </w:rPr>
                              <w:t xml:space="preserve">Dr </w:t>
                            </w:r>
                            <w:r w:rsidR="002A5BC7" w:rsidRPr="00FC4545">
                              <w:rPr>
                                <w:b/>
                                <w:bCs/>
                                <w:color w:val="000000" w:themeColor="text1"/>
                                <w:sz w:val="24"/>
                                <w:szCs w:val="24"/>
                              </w:rPr>
                              <w:t>Lucien LIA</w:t>
                            </w:r>
                          </w:p>
                          <w:p w14:paraId="26A03C6F" w14:textId="43FDC158" w:rsidR="002A5BC7" w:rsidRPr="002A5BC7" w:rsidRDefault="002A5BC7" w:rsidP="007834C2">
                            <w:pPr>
                              <w:spacing w:line="240" w:lineRule="auto"/>
                              <w:jc w:val="center"/>
                              <w:rPr>
                                <w:color w:val="0A2F41" w:themeColor="accent1" w:themeShade="80"/>
                                <w:sz w:val="20"/>
                                <w:szCs w:val="20"/>
                              </w:rPr>
                            </w:pPr>
                            <w:r w:rsidRPr="002A5BC7">
                              <w:rPr>
                                <w:color w:val="0A2F41" w:themeColor="accent1" w:themeShade="80"/>
                                <w:sz w:val="20"/>
                                <w:szCs w:val="20"/>
                              </w:rPr>
                              <w:t xml:space="preserve">Abidjan, </w:t>
                            </w:r>
                            <w:r w:rsidR="004934C5">
                              <w:rPr>
                                <w:color w:val="0A2F41" w:themeColor="accent1" w:themeShade="80"/>
                                <w:sz w:val="20"/>
                                <w:szCs w:val="20"/>
                              </w:rPr>
                              <w:t>CÔTE</w:t>
                            </w:r>
                            <w:r w:rsidRPr="002A5BC7">
                              <w:rPr>
                                <w:color w:val="0A2F41" w:themeColor="accent1" w:themeShade="80"/>
                                <w:sz w:val="20"/>
                                <w:szCs w:val="20"/>
                              </w:rPr>
                              <w:t xml:space="preserve"> D’IVOIRE, (+225) 07 08 90 55 24 /01 52 43 26 12, lucien.lia@gmail.com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AA449" id="_x0000_t202" coordsize="21600,21600" o:spt="202" path="m,l,21600r21600,l21600,xe">
                <v:stroke joinstyle="miter"/>
                <v:path gradientshapeok="t" o:connecttype="rect"/>
              </v:shapetype>
              <v:shape id="Zone de texte 2" o:spid="_x0000_s1026" type="#_x0000_t202" style="position:absolute;margin-left:71.35pt;margin-top:0;width:393.55pt;height:4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KLJwIAADAEAAAOAAAAZHJzL2Uyb0RvYy54bWysU9uO2yAQfa/Uf0C8N3bcJE2sOKtttltV&#10;2l6k3X4AwThGBYYCiZ1+fQfsZNPuW1UeEDMDZ2bOHNY3vVbkKJyXYCo6neSUCMOhlmZf0e9P92+W&#10;lPjATM0UGFHRk/D0ZvP61bqzpSigBVULRxDE+LKzFW1DsGWWed4KzfwErDAYbMBpFtB0+6x2rEN0&#10;rbIizxdZB662DrjwHr13Q5BuEn7TCB6+No0XgaiKYm0h7S7tu7hnmzUr947ZVvKxDPYPVWgmDSa9&#10;QN2xwMjByRdQWnIHHpow4aAzaBrJReoBu5nmf3Xz2DIrUi9IjrcXmvz/g+Vfjo/2myOhfw89DjA1&#10;4e0D8B+eGNi2zOzFrXPQtYLVmHgaKcs668vxaaTalz6C7LrPUOOQ2SFAAuobpyMr2CdBdBzA6UK6&#10;6APh6JytVst8OaeEY2zxtpgt0lQyVp5fW+fDRwGaxENFHQ41obPjgw+xGlaer8RkHpSs76VSyYhC&#10;ElvlyJGhBEJfpKfqoLHUwTfNcQ1CQDfKZXCvzm6ET3KMKCnZHwmUIV1FV/NinoANxMxJVVoGlLaS&#10;uqLLiDXmiDx+MHW6EphUwxmTKDMSG7kcWA39rseLkeAd1Cek2MEgYfxyeGjB/aKkQ/lW1P88MCco&#10;UZ8Mjmk1nc2i3pMxm78r0HDXkd11hBmOUEgPJcNxG9IfiQwauMVxNjIx/VzJWCvKMnEyfqGo+2s7&#10;3Xr+6JvfAAAA//8DAFBLAwQUAAYACAAAACEA7Ezge9oAAAAHAQAADwAAAGRycy9kb3ducmV2Lnht&#10;bEyPwU7DMBBE70j8g7VI3KhDRFoS4lQICQmObfgAJ94mUex1iN008PUsJ7jtaEazb8r96qxYcA6D&#10;JwX3mwQEUuvNQJ2Cj/r17hFEiJqMtp5QwRcG2FfXV6UujL/QAZdj7ASXUCi0gj7GqZAytD06HTZ+&#10;QmLv5GenI8u5k2bWFy53VqZJspVOD8Qfej3hS4/teDw7BfSWnZaxSbPDu61Hm9XN5+57Vur2Zn1+&#10;AhFxjX9h+MVndKiYqfFnMkFY1g/pjqMKeBHbeZrzkoaPfAuyKuV//uoHAAD//wMAUEsBAi0AFAAG&#10;AAgAAAAhALaDOJL+AAAA4QEAABMAAAAAAAAAAAAAAAAAAAAAAFtDb250ZW50X1R5cGVzXS54bWxQ&#10;SwECLQAUAAYACAAAACEAOP0h/9YAAACUAQAACwAAAAAAAAAAAAAAAAAvAQAAX3JlbHMvLnJlbHNQ&#10;SwECLQAUAAYACAAAACEA2J4iiycCAAAwBAAADgAAAAAAAAAAAAAAAAAuAgAAZHJzL2Uyb0RvYy54&#10;bWxQSwECLQAUAAYACAAAACEA7Ezge9oAAAAHAQAADwAAAAAAAAAAAAAAAACBBAAAZHJzL2Rvd25y&#10;ZXYueG1sUEsFBgAAAAAEAAQA8wAAAIgFAAAAAA==&#10;" fillcolor="#dceaf7 [351]" stroked="f">
                <v:textbox>
                  <w:txbxContent>
                    <w:p w14:paraId="686FDDE3" w14:textId="02A970A2" w:rsidR="002A5BC7" w:rsidRPr="00FC4545" w:rsidRDefault="001D5E2D" w:rsidP="007834C2">
                      <w:pPr>
                        <w:spacing w:after="0"/>
                        <w:jc w:val="center"/>
                        <w:rPr>
                          <w:b/>
                          <w:bCs/>
                          <w:color w:val="000000" w:themeColor="text1"/>
                          <w:sz w:val="24"/>
                          <w:szCs w:val="24"/>
                        </w:rPr>
                      </w:pPr>
                      <w:r>
                        <w:rPr>
                          <w:b/>
                          <w:bCs/>
                          <w:color w:val="000000" w:themeColor="text1"/>
                          <w:sz w:val="24"/>
                          <w:szCs w:val="24"/>
                        </w:rPr>
                        <w:t xml:space="preserve">Dr </w:t>
                      </w:r>
                      <w:r w:rsidR="002A5BC7" w:rsidRPr="00FC4545">
                        <w:rPr>
                          <w:b/>
                          <w:bCs/>
                          <w:color w:val="000000" w:themeColor="text1"/>
                          <w:sz w:val="24"/>
                          <w:szCs w:val="24"/>
                        </w:rPr>
                        <w:t>Lucien LIA</w:t>
                      </w:r>
                    </w:p>
                    <w:p w14:paraId="26A03C6F" w14:textId="43FDC158" w:rsidR="002A5BC7" w:rsidRPr="002A5BC7" w:rsidRDefault="002A5BC7" w:rsidP="007834C2">
                      <w:pPr>
                        <w:spacing w:line="240" w:lineRule="auto"/>
                        <w:jc w:val="center"/>
                        <w:rPr>
                          <w:color w:val="0A2F41" w:themeColor="accent1" w:themeShade="80"/>
                          <w:sz w:val="20"/>
                          <w:szCs w:val="20"/>
                        </w:rPr>
                      </w:pPr>
                      <w:r w:rsidRPr="002A5BC7">
                        <w:rPr>
                          <w:color w:val="0A2F41" w:themeColor="accent1" w:themeShade="80"/>
                          <w:sz w:val="20"/>
                          <w:szCs w:val="20"/>
                        </w:rPr>
                        <w:t xml:space="preserve">Abidjan, </w:t>
                      </w:r>
                      <w:r w:rsidR="004934C5">
                        <w:rPr>
                          <w:color w:val="0A2F41" w:themeColor="accent1" w:themeShade="80"/>
                          <w:sz w:val="20"/>
                          <w:szCs w:val="20"/>
                        </w:rPr>
                        <w:t>CÔTE</w:t>
                      </w:r>
                      <w:r w:rsidRPr="002A5BC7">
                        <w:rPr>
                          <w:color w:val="0A2F41" w:themeColor="accent1" w:themeShade="80"/>
                          <w:sz w:val="20"/>
                          <w:szCs w:val="20"/>
                        </w:rPr>
                        <w:t xml:space="preserve"> D’IVOIRE, (+225) 07 08 90 55 24 /01 52 43 26 12, lucien.lia@gmail.com</w:t>
                      </w:r>
                    </w:p>
                  </w:txbxContent>
                </v:textbox>
                <w10:wrap type="square" anchorx="margin"/>
              </v:shape>
            </w:pict>
          </mc:Fallback>
        </mc:AlternateContent>
      </w:r>
    </w:p>
    <w:p w14:paraId="20C997D9" w14:textId="7CAF0CAC" w:rsidR="00BE33F5" w:rsidRDefault="00BE33F5" w:rsidP="006839E9">
      <w:pPr>
        <w:rPr>
          <w:lang w:val="en-US"/>
        </w:rPr>
      </w:pPr>
    </w:p>
    <w:tbl>
      <w:tblPr>
        <w:tblStyle w:val="Grilledutableau"/>
        <w:tblpPr w:leftFromText="180" w:rightFromText="180" w:vertAnchor="text" w:horzAnchor="margin" w:tblpY="237"/>
        <w:tblW w:w="1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
        <w:gridCol w:w="108"/>
        <w:gridCol w:w="1674"/>
        <w:gridCol w:w="216"/>
        <w:gridCol w:w="108"/>
        <w:gridCol w:w="8542"/>
        <w:gridCol w:w="216"/>
        <w:gridCol w:w="108"/>
      </w:tblGrid>
      <w:tr w:rsidR="007834C2" w14:paraId="63FD9F9A" w14:textId="77777777" w:rsidTr="004934C5">
        <w:trPr>
          <w:gridBefore w:val="1"/>
          <w:gridAfter w:val="1"/>
          <w:wBefore w:w="216" w:type="dxa"/>
          <w:wAfter w:w="108" w:type="dxa"/>
          <w:trHeight w:val="333"/>
        </w:trPr>
        <w:tc>
          <w:tcPr>
            <w:tcW w:w="1998" w:type="dxa"/>
            <w:gridSpan w:val="3"/>
          </w:tcPr>
          <w:p w14:paraId="429E6739" w14:textId="77777777" w:rsidR="007834C2" w:rsidRPr="00F477DE" w:rsidRDefault="007834C2" w:rsidP="007834C2">
            <w:pPr>
              <w:rPr>
                <w:b/>
                <w:bCs/>
                <w:sz w:val="20"/>
                <w:szCs w:val="20"/>
                <w:lang w:val="en-US"/>
              </w:rPr>
            </w:pPr>
            <w:r w:rsidRPr="00F477DE">
              <w:rPr>
                <w:b/>
                <w:bCs/>
                <w:sz w:val="20"/>
                <w:szCs w:val="20"/>
                <w:lang w:val="en-US"/>
              </w:rPr>
              <w:t xml:space="preserve">                        </w:t>
            </w:r>
          </w:p>
          <w:p w14:paraId="51EACBF3" w14:textId="77777777" w:rsidR="007834C2" w:rsidRPr="00F477DE" w:rsidRDefault="007834C2" w:rsidP="007834C2">
            <w:pPr>
              <w:rPr>
                <w:b/>
                <w:bCs/>
                <w:sz w:val="20"/>
                <w:szCs w:val="20"/>
                <w:lang w:val="en-US"/>
              </w:rPr>
            </w:pPr>
            <w:r w:rsidRPr="00F477DE">
              <w:rPr>
                <w:b/>
                <w:bCs/>
                <w:sz w:val="20"/>
                <w:szCs w:val="20"/>
                <w:lang w:val="en-US"/>
              </w:rPr>
              <w:t xml:space="preserve"> </w:t>
            </w:r>
            <w:r w:rsidRPr="00F477DE">
              <w:rPr>
                <w:b/>
                <w:bCs/>
                <w:color w:val="215E99" w:themeColor="text2" w:themeTint="BF"/>
                <w:sz w:val="20"/>
                <w:szCs w:val="20"/>
              </w:rPr>
              <w:t>RÉSUMÉ</w:t>
            </w:r>
          </w:p>
        </w:tc>
        <w:tc>
          <w:tcPr>
            <w:tcW w:w="8866" w:type="dxa"/>
            <w:gridSpan w:val="3"/>
          </w:tcPr>
          <w:p w14:paraId="379F05BD" w14:textId="77777777" w:rsidR="007834C2" w:rsidRPr="00792251" w:rsidRDefault="007834C2" w:rsidP="007834C2">
            <w:pPr>
              <w:jc w:val="both"/>
              <w:rPr>
                <w:rFonts w:ascii="Arial" w:eastAsia="Times New Roman" w:hAnsi="Arial"/>
                <w:color w:val="0A2F41" w:themeColor="accent1" w:themeShade="80"/>
              </w:rPr>
            </w:pPr>
          </w:p>
          <w:p w14:paraId="6AAC030B" w14:textId="3ABD3B40" w:rsidR="007834C2" w:rsidRPr="00792251" w:rsidRDefault="00154B07" w:rsidP="007834C2">
            <w:pPr>
              <w:jc w:val="both"/>
              <w:rPr>
                <w:rFonts w:ascii="Arial" w:eastAsia="Times New Roman" w:hAnsi="Arial"/>
                <w:color w:val="404B5B"/>
              </w:rPr>
            </w:pPr>
            <w:r w:rsidRPr="00154B07">
              <w:rPr>
                <w:rFonts w:eastAsia="Times New Roman"/>
              </w:rPr>
              <w:t>Cadre dynamique avec p</w:t>
            </w:r>
            <w:r w:rsidR="004934C5">
              <w:rPr>
                <w:rFonts w:eastAsia="Times New Roman"/>
              </w:rPr>
              <w:t>rès</w:t>
            </w:r>
            <w:r w:rsidRPr="00154B07">
              <w:rPr>
                <w:rFonts w:eastAsia="Times New Roman"/>
              </w:rPr>
              <w:t xml:space="preserve"> de 1</w:t>
            </w:r>
            <w:r w:rsidR="004934C5">
              <w:rPr>
                <w:rFonts w:eastAsia="Times New Roman"/>
              </w:rPr>
              <w:t>5</w:t>
            </w:r>
            <w:r w:rsidRPr="00154B07">
              <w:rPr>
                <w:rFonts w:eastAsia="Times New Roman"/>
              </w:rPr>
              <w:t xml:space="preserve"> ans d'expérience en partenariats et mobilisation de ressources dans divers secteurs. Expertise avérée en </w:t>
            </w:r>
            <w:r>
              <w:rPr>
                <w:rFonts w:eastAsia="Times New Roman"/>
              </w:rPr>
              <w:t xml:space="preserve">rédaction de </w:t>
            </w:r>
            <w:r w:rsidR="004934C5">
              <w:rPr>
                <w:rFonts w:eastAsia="Times New Roman"/>
              </w:rPr>
              <w:t>propositions</w:t>
            </w:r>
            <w:r w:rsidR="009E5103">
              <w:rPr>
                <w:rFonts w:eastAsia="Times New Roman"/>
              </w:rPr>
              <w:t>,</w:t>
            </w:r>
            <w:r>
              <w:rPr>
                <w:rFonts w:eastAsia="Times New Roman"/>
              </w:rPr>
              <w:t xml:space="preserve"> gestion des contrats et reporting</w:t>
            </w:r>
            <w:r w:rsidR="005934DE">
              <w:rPr>
                <w:rFonts w:eastAsia="Times New Roman"/>
              </w:rPr>
              <w:t xml:space="preserve">, </w:t>
            </w:r>
            <w:r w:rsidRPr="00154B07">
              <w:rPr>
                <w:rFonts w:eastAsia="Times New Roman"/>
              </w:rPr>
              <w:t>renforcement des capacités, planification stratégique et engagement des parties prenantes, ayant mené avec succès des initiatives ayant abouti à des financements importants pour des programmes de santé, d'eau et d'assainissement. Ses réalisations incluent l'élaboration de propositions réussies pour des donateurs internationaux et le renforcement des partenariats locaux et de la mobilisation de ressources. Prêt à exploiter ses compétences uniques pour établir des collaborations solides et mettre en œuvre des stratégies de mobilisation de ressources efficaces, contribuant ainsi au succès de l'organisation.</w:t>
            </w:r>
          </w:p>
        </w:tc>
      </w:tr>
      <w:tr w:rsidR="007834C2" w14:paraId="2E245E1B" w14:textId="77777777" w:rsidTr="004934C5">
        <w:trPr>
          <w:gridBefore w:val="2"/>
          <w:wBefore w:w="324" w:type="dxa"/>
          <w:trHeight w:val="333"/>
        </w:trPr>
        <w:tc>
          <w:tcPr>
            <w:tcW w:w="10864" w:type="dxa"/>
            <w:gridSpan w:val="6"/>
          </w:tcPr>
          <w:p w14:paraId="13E0B249" w14:textId="77777777" w:rsidR="007834C2" w:rsidRDefault="007834C2" w:rsidP="007834C2">
            <w:pPr>
              <w:rPr>
                <w:lang w:val="en-US"/>
              </w:rPr>
            </w:pPr>
            <w:r w:rsidRPr="000E6006">
              <w:rPr>
                <w:b/>
                <w:bCs/>
                <w:color w:val="215E99" w:themeColor="text2" w:themeTint="BF"/>
              </w:rPr>
              <w:t>EXPÉRIENCE PROFESSIONNELLE</w:t>
            </w:r>
          </w:p>
        </w:tc>
      </w:tr>
      <w:tr w:rsidR="007834C2" w:rsidRPr="00100687" w14:paraId="1C16552E" w14:textId="77777777" w:rsidTr="004934C5">
        <w:trPr>
          <w:gridBefore w:val="2"/>
          <w:wBefore w:w="324" w:type="dxa"/>
          <w:trHeight w:val="333"/>
        </w:trPr>
        <w:tc>
          <w:tcPr>
            <w:tcW w:w="1998" w:type="dxa"/>
            <w:gridSpan w:val="3"/>
          </w:tcPr>
          <w:p w14:paraId="443B0581" w14:textId="06371818" w:rsidR="007834C2" w:rsidRPr="00F477DE" w:rsidRDefault="007834C2" w:rsidP="007834C2">
            <w:pPr>
              <w:shd w:val="clear" w:color="auto" w:fill="FFFFFF"/>
              <w:rPr>
                <w:rFonts w:eastAsia="Times New Roman"/>
                <w:color w:val="404B5B"/>
                <w:sz w:val="20"/>
                <w:szCs w:val="20"/>
              </w:rPr>
            </w:pPr>
            <w:r w:rsidRPr="00F477DE">
              <w:rPr>
                <w:rFonts w:eastAsia="Times New Roman"/>
                <w:color w:val="404B5B"/>
                <w:sz w:val="20"/>
                <w:szCs w:val="20"/>
              </w:rPr>
              <w:t xml:space="preserve">03/2025 – </w:t>
            </w:r>
            <w:r w:rsidR="005F27C7" w:rsidRPr="00F477DE">
              <w:rPr>
                <w:rFonts w:eastAsia="Times New Roman"/>
                <w:color w:val="404B5B"/>
                <w:sz w:val="20"/>
                <w:szCs w:val="20"/>
              </w:rPr>
              <w:t>Présent</w:t>
            </w:r>
          </w:p>
        </w:tc>
        <w:tc>
          <w:tcPr>
            <w:tcW w:w="8866" w:type="dxa"/>
            <w:gridSpan w:val="3"/>
          </w:tcPr>
          <w:p w14:paraId="274EFB95" w14:textId="68E6C82D" w:rsidR="007834C2" w:rsidRPr="00253148" w:rsidRDefault="007834C2" w:rsidP="007834C2">
            <w:pPr>
              <w:shd w:val="clear" w:color="auto" w:fill="FFFFFF"/>
              <w:rPr>
                <w:rFonts w:eastAsia="Times New Roman"/>
                <w:b/>
                <w:bCs/>
                <w:color w:val="404B5B"/>
              </w:rPr>
            </w:pPr>
            <w:r w:rsidRPr="00253148">
              <w:rPr>
                <w:rFonts w:eastAsia="Times New Roman"/>
                <w:b/>
                <w:bCs/>
                <w:color w:val="1A1E24"/>
              </w:rPr>
              <w:t xml:space="preserve">Formateur, Consultant indépendant     </w:t>
            </w:r>
            <w:r w:rsidRPr="00253148">
              <w:rPr>
                <w:rFonts w:eastAsia="Times New Roman"/>
                <w:b/>
                <w:bCs/>
                <w:color w:val="404B5B"/>
              </w:rPr>
              <w:t xml:space="preserve">Abidjan, </w:t>
            </w:r>
            <w:r w:rsidR="009E5103">
              <w:rPr>
                <w:rFonts w:eastAsia="Times New Roman"/>
                <w:b/>
                <w:bCs/>
                <w:color w:val="404B5B"/>
              </w:rPr>
              <w:t>Côte</w:t>
            </w:r>
            <w:r w:rsidRPr="00253148">
              <w:rPr>
                <w:rFonts w:eastAsia="Times New Roman"/>
                <w:b/>
                <w:bCs/>
                <w:color w:val="404B5B"/>
              </w:rPr>
              <w:t xml:space="preserve"> D'IVOIRE</w:t>
            </w:r>
          </w:p>
        </w:tc>
      </w:tr>
      <w:tr w:rsidR="007834C2" w:rsidRPr="00766143" w14:paraId="01F58C68" w14:textId="77777777" w:rsidTr="004934C5">
        <w:trPr>
          <w:gridBefore w:val="2"/>
          <w:wBefore w:w="324" w:type="dxa"/>
          <w:trHeight w:val="316"/>
        </w:trPr>
        <w:tc>
          <w:tcPr>
            <w:tcW w:w="1998" w:type="dxa"/>
            <w:gridSpan w:val="3"/>
          </w:tcPr>
          <w:p w14:paraId="1FCE7538" w14:textId="77777777" w:rsidR="007834C2" w:rsidRPr="00F477DE" w:rsidRDefault="007834C2" w:rsidP="007834C2">
            <w:pPr>
              <w:shd w:val="clear" w:color="auto" w:fill="FFFFFF"/>
              <w:rPr>
                <w:rFonts w:eastAsia="Times New Roman"/>
                <w:color w:val="404B5B"/>
                <w:sz w:val="20"/>
                <w:szCs w:val="20"/>
              </w:rPr>
            </w:pPr>
          </w:p>
        </w:tc>
        <w:tc>
          <w:tcPr>
            <w:tcW w:w="8866" w:type="dxa"/>
            <w:gridSpan w:val="3"/>
          </w:tcPr>
          <w:p w14:paraId="4E739EF7" w14:textId="77777777" w:rsidR="007834C2" w:rsidRPr="00766143" w:rsidRDefault="007834C2" w:rsidP="004934C5">
            <w:pPr>
              <w:pStyle w:val="Paragraphedeliste"/>
              <w:numPr>
                <w:ilvl w:val="0"/>
                <w:numId w:val="10"/>
              </w:numPr>
              <w:ind w:left="360"/>
            </w:pPr>
            <w:r w:rsidRPr="0043248C">
              <w:t>Exécution d'initiatives de renforcement des capacités pour les ONG locales, améliorant leurs capacités opérationnelles en matière de partenariats et de mobilisation de ressources.</w:t>
            </w:r>
          </w:p>
          <w:p w14:paraId="44A6375B" w14:textId="77777777" w:rsidR="007834C2" w:rsidRPr="00766143" w:rsidRDefault="007834C2" w:rsidP="004934C5">
            <w:pPr>
              <w:pStyle w:val="Paragraphedeliste"/>
              <w:numPr>
                <w:ilvl w:val="0"/>
                <w:numId w:val="10"/>
              </w:numPr>
              <w:ind w:left="360"/>
            </w:pPr>
            <w:r w:rsidRPr="0043248C">
              <w:t>Animation de sessions de formation complètes et d'ateliers adaptés aux besoins spécifiques de l'organisation.</w:t>
            </w:r>
          </w:p>
          <w:p w14:paraId="37A67ECB" w14:textId="77777777" w:rsidR="007834C2" w:rsidRPr="00766143" w:rsidRDefault="007834C2" w:rsidP="004934C5">
            <w:pPr>
              <w:pStyle w:val="Paragraphedeliste"/>
              <w:numPr>
                <w:ilvl w:val="0"/>
                <w:numId w:val="10"/>
              </w:numPr>
              <w:ind w:left="360"/>
            </w:pPr>
            <w:r w:rsidRPr="0043248C">
              <w:t>Coaching en ligne et soutien sur le terrain pour favoriser le développement des compétences.</w:t>
            </w:r>
          </w:p>
          <w:p w14:paraId="095AF855" w14:textId="77777777" w:rsidR="007834C2" w:rsidRPr="00766143" w:rsidRDefault="007834C2" w:rsidP="004934C5">
            <w:pPr>
              <w:numPr>
                <w:ilvl w:val="0"/>
                <w:numId w:val="1"/>
              </w:numPr>
              <w:ind w:left="360"/>
            </w:pPr>
            <w:r w:rsidRPr="0043248C">
              <w:t>Formulation de cadres de planification stratégique pour stimuler la croissance organisationnelle et la durabilité</w:t>
            </w:r>
            <w:r w:rsidRPr="00766143">
              <w:t>.</w:t>
            </w:r>
          </w:p>
        </w:tc>
      </w:tr>
      <w:tr w:rsidR="007834C2" w14:paraId="0B99FF55" w14:textId="77777777" w:rsidTr="004934C5">
        <w:trPr>
          <w:gridBefore w:val="2"/>
          <w:wBefore w:w="324" w:type="dxa"/>
          <w:trHeight w:val="309"/>
        </w:trPr>
        <w:tc>
          <w:tcPr>
            <w:tcW w:w="1998" w:type="dxa"/>
            <w:gridSpan w:val="3"/>
          </w:tcPr>
          <w:p w14:paraId="441815BF" w14:textId="77777777" w:rsidR="007834C2" w:rsidRPr="00F477DE" w:rsidRDefault="007834C2" w:rsidP="007834C2">
            <w:pPr>
              <w:shd w:val="clear" w:color="auto" w:fill="FFFFFF"/>
              <w:rPr>
                <w:rFonts w:eastAsia="Times New Roman"/>
                <w:color w:val="404B5B"/>
                <w:sz w:val="20"/>
                <w:szCs w:val="20"/>
              </w:rPr>
            </w:pPr>
            <w:r w:rsidRPr="00F477DE">
              <w:rPr>
                <w:rFonts w:eastAsia="Times New Roman"/>
                <w:color w:val="404B5B"/>
                <w:sz w:val="20"/>
                <w:szCs w:val="20"/>
              </w:rPr>
              <w:t>01/2024 – 01/2025</w:t>
            </w:r>
          </w:p>
        </w:tc>
        <w:tc>
          <w:tcPr>
            <w:tcW w:w="8866" w:type="dxa"/>
            <w:gridSpan w:val="3"/>
          </w:tcPr>
          <w:p w14:paraId="6B07216B" w14:textId="77777777" w:rsidR="007834C2" w:rsidRPr="00253148" w:rsidRDefault="007834C2" w:rsidP="007834C2">
            <w:pPr>
              <w:shd w:val="clear" w:color="auto" w:fill="FFFFFF"/>
              <w:rPr>
                <w:rFonts w:eastAsia="Times New Roman"/>
                <w:b/>
                <w:bCs/>
                <w:color w:val="1A1E24"/>
              </w:rPr>
            </w:pPr>
            <w:r w:rsidRPr="00253148">
              <w:rPr>
                <w:rFonts w:eastAsia="Times New Roman"/>
                <w:b/>
                <w:bCs/>
                <w:color w:val="1A1E24"/>
              </w:rPr>
              <w:t xml:space="preserve">Responsable des affaires extérieures, DNDi         </w:t>
            </w:r>
            <w:r w:rsidRPr="00253148">
              <w:rPr>
                <w:rFonts w:eastAsia="Times New Roman"/>
                <w:b/>
                <w:bCs/>
                <w:color w:val="404B5B"/>
              </w:rPr>
              <w:t>Kinshasa, RDC</w:t>
            </w:r>
          </w:p>
        </w:tc>
      </w:tr>
      <w:tr w:rsidR="007834C2" w:rsidRPr="00766143" w14:paraId="551696F7" w14:textId="77777777" w:rsidTr="004934C5">
        <w:trPr>
          <w:gridAfter w:val="2"/>
          <w:wAfter w:w="324" w:type="dxa"/>
          <w:trHeight w:val="333"/>
        </w:trPr>
        <w:tc>
          <w:tcPr>
            <w:tcW w:w="1998" w:type="dxa"/>
            <w:gridSpan w:val="3"/>
          </w:tcPr>
          <w:p w14:paraId="2DE5244A" w14:textId="77777777" w:rsidR="007834C2" w:rsidRPr="00F477DE" w:rsidRDefault="007834C2" w:rsidP="007834C2">
            <w:pPr>
              <w:shd w:val="clear" w:color="auto" w:fill="FFFFFF"/>
              <w:rPr>
                <w:rFonts w:eastAsia="Times New Roman"/>
                <w:color w:val="404B5B"/>
                <w:sz w:val="20"/>
                <w:szCs w:val="20"/>
              </w:rPr>
            </w:pPr>
          </w:p>
        </w:tc>
        <w:tc>
          <w:tcPr>
            <w:tcW w:w="8866" w:type="dxa"/>
            <w:gridSpan w:val="3"/>
          </w:tcPr>
          <w:p w14:paraId="4AADFE81" w14:textId="77777777" w:rsidR="007834C2" w:rsidRPr="00766143" w:rsidRDefault="007834C2" w:rsidP="007834C2">
            <w:pPr>
              <w:pStyle w:val="Paragraphedeliste"/>
              <w:numPr>
                <w:ilvl w:val="0"/>
                <w:numId w:val="12"/>
              </w:numPr>
            </w:pPr>
            <w:r w:rsidRPr="0043248C">
              <w:t>Réalisation d'une analyse approfondie du paysage et de la cartographie des partenaires et des donateurs dans la région de la RDC.</w:t>
            </w:r>
          </w:p>
          <w:p w14:paraId="1009699E" w14:textId="77777777" w:rsidR="007834C2" w:rsidRPr="00766143" w:rsidRDefault="007834C2" w:rsidP="007834C2">
            <w:pPr>
              <w:pStyle w:val="Paragraphedeliste"/>
              <w:numPr>
                <w:ilvl w:val="0"/>
                <w:numId w:val="12"/>
              </w:numPr>
            </w:pPr>
            <w:r w:rsidRPr="0043248C">
              <w:t>Réalisation de recherches documentaires détaillées et suivi des initiatives de la Banque mondiale et du Groupe de la BAD en RDC, au Kenya et en Guinée.</w:t>
            </w:r>
          </w:p>
          <w:p w14:paraId="54258234" w14:textId="77777777" w:rsidR="007834C2" w:rsidRPr="00766143" w:rsidRDefault="007834C2" w:rsidP="007834C2">
            <w:pPr>
              <w:pStyle w:val="Paragraphedeliste"/>
              <w:numPr>
                <w:ilvl w:val="0"/>
                <w:numId w:val="12"/>
              </w:numPr>
            </w:pPr>
            <w:r w:rsidRPr="0043248C">
              <w:t>Pilotage de l'élaboration d'une proposition pour l'élimination de la trypanosomiase humaine africaine à l'intention de PDSS/Banque mondiale ciblant la RDC.</w:t>
            </w:r>
          </w:p>
          <w:p w14:paraId="3E00DA62" w14:textId="0B0BD059" w:rsidR="007834C2" w:rsidRPr="00766143" w:rsidRDefault="007834C2" w:rsidP="007834C2">
            <w:pPr>
              <w:pStyle w:val="Paragraphedeliste"/>
              <w:numPr>
                <w:ilvl w:val="0"/>
                <w:numId w:val="12"/>
              </w:numPr>
            </w:pPr>
            <w:r w:rsidRPr="0043248C">
              <w:t xml:space="preserve"> </w:t>
            </w:r>
            <w:r w:rsidR="004E1951">
              <w:t xml:space="preserve">Coordination de la </w:t>
            </w:r>
            <w:r w:rsidRPr="0043248C">
              <w:t xml:space="preserve">proposition au Conseil de la recherche médicale (MRC-UK) </w:t>
            </w:r>
            <w:r w:rsidR="004E1951">
              <w:t>sur l’élimination de la trypanosomiase</w:t>
            </w:r>
            <w:r w:rsidR="009E5103">
              <w:t xml:space="preserve"> au</w:t>
            </w:r>
            <w:r w:rsidR="009E5103" w:rsidRPr="0043248C">
              <w:t xml:space="preserve"> </w:t>
            </w:r>
            <w:r w:rsidR="009E5103" w:rsidRPr="0043248C">
              <w:t>Malawi et en Ouganda</w:t>
            </w:r>
            <w:r w:rsidRPr="0043248C">
              <w:t>.</w:t>
            </w:r>
          </w:p>
          <w:p w14:paraId="41C6C51B" w14:textId="3DD8D0C9" w:rsidR="007834C2" w:rsidRPr="004E1951" w:rsidRDefault="004E1951" w:rsidP="007834C2">
            <w:pPr>
              <w:pStyle w:val="Paragraphedeliste"/>
              <w:numPr>
                <w:ilvl w:val="0"/>
                <w:numId w:val="12"/>
              </w:numPr>
              <w:rPr>
                <w:lang w:val="en-US"/>
              </w:rPr>
            </w:pPr>
            <w:r>
              <w:rPr>
                <w:lang w:val="en-US"/>
              </w:rPr>
              <w:t>R</w:t>
            </w:r>
            <w:r w:rsidR="007834C2" w:rsidRPr="004E1951">
              <w:rPr>
                <w:lang w:val="en-US"/>
              </w:rPr>
              <w:t>apport</w:t>
            </w:r>
            <w:r w:rsidR="005934DE" w:rsidRPr="004E1951">
              <w:rPr>
                <w:lang w:val="en-US"/>
              </w:rPr>
              <w:t>age</w:t>
            </w:r>
            <w:r w:rsidR="007834C2" w:rsidRPr="004E1951">
              <w:rPr>
                <w:lang w:val="en-US"/>
              </w:rPr>
              <w:t xml:space="preserve"> </w:t>
            </w:r>
            <w:r>
              <w:rPr>
                <w:lang w:val="en-US"/>
              </w:rPr>
              <w:t xml:space="preserve">projet </w:t>
            </w:r>
            <w:r w:rsidR="007834C2" w:rsidRPr="004E1951">
              <w:rPr>
                <w:lang w:val="en-US"/>
              </w:rPr>
              <w:t>'EDCTP</w:t>
            </w:r>
            <w:r>
              <w:rPr>
                <w:lang w:val="en-US"/>
              </w:rPr>
              <w:t>4</w:t>
            </w:r>
            <w:r w:rsidR="007834C2" w:rsidRPr="004E1951">
              <w:rPr>
                <w:lang w:val="en-US"/>
              </w:rPr>
              <w:t xml:space="preserve"> (The European &amp; Developing Countries Clinical Trials Partnership).</w:t>
            </w:r>
          </w:p>
          <w:p w14:paraId="01847F0B" w14:textId="468B735A" w:rsidR="007834C2" w:rsidRPr="00766143" w:rsidRDefault="007834C2" w:rsidP="007834C2">
            <w:pPr>
              <w:pStyle w:val="Paragraphedeliste"/>
              <w:numPr>
                <w:ilvl w:val="0"/>
                <w:numId w:val="12"/>
              </w:numPr>
            </w:pPr>
            <w:r w:rsidRPr="0043248C">
              <w:t xml:space="preserve">Contribution intégrale au rapport </w:t>
            </w:r>
            <w:r w:rsidR="004E1951">
              <w:t xml:space="preserve">« </w:t>
            </w:r>
            <w:proofErr w:type="spellStart"/>
            <w:r w:rsidR="004E1951">
              <w:t>Products</w:t>
            </w:r>
            <w:proofErr w:type="spellEnd"/>
            <w:r w:rsidR="004E1951">
              <w:t xml:space="preserve"> </w:t>
            </w:r>
            <w:proofErr w:type="spellStart"/>
            <w:r w:rsidR="004E1951">
              <w:t>Development</w:t>
            </w:r>
            <w:proofErr w:type="spellEnd"/>
            <w:r w:rsidR="004E1951">
              <w:t xml:space="preserve"> </w:t>
            </w:r>
            <w:proofErr w:type="spellStart"/>
            <w:r w:rsidR="004E1951">
              <w:t>Partners</w:t>
            </w:r>
            <w:proofErr w:type="spellEnd"/>
            <w:r w:rsidR="004E1951">
              <w:t xml:space="preserve"> »</w:t>
            </w:r>
            <w:r w:rsidRPr="0043248C">
              <w:t xml:space="preserve"> (PDP).</w:t>
            </w:r>
          </w:p>
          <w:p w14:paraId="530A817E" w14:textId="26439DDC" w:rsidR="007834C2" w:rsidRPr="00766143" w:rsidRDefault="007834C2" w:rsidP="007834C2">
            <w:pPr>
              <w:numPr>
                <w:ilvl w:val="0"/>
                <w:numId w:val="2"/>
              </w:numPr>
            </w:pPr>
            <w:r w:rsidRPr="0043248C">
              <w:t>Soutien au rapport final de l'EDCTP</w:t>
            </w:r>
            <w:r w:rsidR="004E1951">
              <w:t>5</w:t>
            </w:r>
            <w:r w:rsidRPr="00766143">
              <w:t>.</w:t>
            </w:r>
          </w:p>
        </w:tc>
      </w:tr>
      <w:tr w:rsidR="007834C2" w:rsidRPr="00766143" w14:paraId="6BC6437A" w14:textId="77777777" w:rsidTr="004934C5">
        <w:trPr>
          <w:gridBefore w:val="2"/>
          <w:wBefore w:w="324" w:type="dxa"/>
          <w:trHeight w:val="316"/>
        </w:trPr>
        <w:tc>
          <w:tcPr>
            <w:tcW w:w="1998" w:type="dxa"/>
            <w:gridSpan w:val="3"/>
          </w:tcPr>
          <w:p w14:paraId="5EAA5F04" w14:textId="77777777" w:rsidR="007834C2" w:rsidRPr="00F477DE" w:rsidRDefault="007834C2" w:rsidP="007834C2">
            <w:pPr>
              <w:shd w:val="clear" w:color="auto" w:fill="FFFFFF"/>
              <w:rPr>
                <w:rFonts w:eastAsia="Times New Roman"/>
                <w:color w:val="404B5B"/>
                <w:sz w:val="20"/>
                <w:szCs w:val="20"/>
              </w:rPr>
            </w:pPr>
            <w:r w:rsidRPr="00F477DE">
              <w:rPr>
                <w:rFonts w:eastAsia="Times New Roman"/>
                <w:color w:val="404B5B"/>
                <w:sz w:val="20"/>
                <w:szCs w:val="20"/>
              </w:rPr>
              <w:t>01/2021 – 12/2023</w:t>
            </w:r>
          </w:p>
        </w:tc>
        <w:tc>
          <w:tcPr>
            <w:tcW w:w="8866" w:type="dxa"/>
            <w:gridSpan w:val="3"/>
          </w:tcPr>
          <w:p w14:paraId="490BFBC3" w14:textId="77777777" w:rsidR="007834C2" w:rsidRPr="00766143" w:rsidRDefault="007834C2" w:rsidP="007834C2">
            <w:pPr>
              <w:shd w:val="clear" w:color="auto" w:fill="FFFFFF"/>
              <w:rPr>
                <w:rFonts w:eastAsia="Times New Roman"/>
                <w:b/>
                <w:bCs/>
                <w:color w:val="1A1E24"/>
              </w:rPr>
            </w:pPr>
            <w:r w:rsidRPr="00766143">
              <w:rPr>
                <w:rFonts w:eastAsia="Times New Roman"/>
                <w:b/>
                <w:bCs/>
                <w:color w:val="1A1E24"/>
              </w:rPr>
              <w:t>Conseiller Technique Mobilisation des Ressources, Santé Intégrée, Lomé, Togo</w:t>
            </w:r>
          </w:p>
        </w:tc>
      </w:tr>
      <w:tr w:rsidR="007834C2" w:rsidRPr="00A218AB" w14:paraId="2629648E" w14:textId="77777777" w:rsidTr="004934C5">
        <w:trPr>
          <w:gridBefore w:val="2"/>
          <w:wBefore w:w="324" w:type="dxa"/>
          <w:trHeight w:val="2788"/>
        </w:trPr>
        <w:tc>
          <w:tcPr>
            <w:tcW w:w="1998" w:type="dxa"/>
            <w:gridSpan w:val="3"/>
          </w:tcPr>
          <w:p w14:paraId="30177EC8" w14:textId="77777777" w:rsidR="007834C2" w:rsidRPr="00F477DE" w:rsidRDefault="007834C2" w:rsidP="007834C2">
            <w:pPr>
              <w:shd w:val="clear" w:color="auto" w:fill="FFFFFF"/>
              <w:rPr>
                <w:rFonts w:eastAsia="Times New Roman"/>
                <w:color w:val="404B5B"/>
                <w:sz w:val="20"/>
                <w:szCs w:val="20"/>
              </w:rPr>
            </w:pPr>
          </w:p>
        </w:tc>
        <w:tc>
          <w:tcPr>
            <w:tcW w:w="8866" w:type="dxa"/>
            <w:gridSpan w:val="3"/>
          </w:tcPr>
          <w:p w14:paraId="10678205" w14:textId="77777777" w:rsidR="007834C2" w:rsidRPr="00A218AB" w:rsidRDefault="007834C2" w:rsidP="007834C2">
            <w:pPr>
              <w:pStyle w:val="Paragraphedeliste"/>
              <w:numPr>
                <w:ilvl w:val="0"/>
                <w:numId w:val="14"/>
              </w:numPr>
            </w:pPr>
            <w:r w:rsidRPr="0043248C">
              <w:t>Renforcement des partenariats avec le ministère de la Santé et ses divisions, les PTF, les OSC et le secteur privé.</w:t>
            </w:r>
          </w:p>
          <w:p w14:paraId="6DF3B89B" w14:textId="77777777" w:rsidR="007834C2" w:rsidRPr="00A218AB" w:rsidRDefault="007834C2" w:rsidP="007834C2">
            <w:pPr>
              <w:pStyle w:val="Paragraphedeliste"/>
              <w:numPr>
                <w:ilvl w:val="0"/>
                <w:numId w:val="14"/>
              </w:numPr>
            </w:pPr>
            <w:r w:rsidRPr="0043248C">
              <w:t>Identification des besoins de financement, renforcement des capacités de mobilisation des ressources pour le ministère de la Santé et ses partenaires locaux, et exécution des activités de mobilisation des ressources</w:t>
            </w:r>
          </w:p>
          <w:p w14:paraId="39FDF464" w14:textId="2D33DD93" w:rsidR="007834C2" w:rsidRPr="00A218AB" w:rsidRDefault="007834C2" w:rsidP="007834C2">
            <w:pPr>
              <w:pStyle w:val="Paragraphedeliste"/>
              <w:numPr>
                <w:ilvl w:val="0"/>
                <w:numId w:val="14"/>
              </w:numPr>
            </w:pPr>
            <w:r>
              <w:t xml:space="preserve">Pilotage de l'évaluation du programme des agents de santé communautaire dans la région centrale </w:t>
            </w:r>
            <w:r w:rsidR="00877091">
              <w:t xml:space="preserve">et </w:t>
            </w:r>
            <w:r>
              <w:t>contribution à l’étude faisabilité technique et financière du nouveau programme au niveau national.</w:t>
            </w:r>
          </w:p>
          <w:p w14:paraId="5E957153" w14:textId="77777777" w:rsidR="007834C2" w:rsidRPr="00A218AB" w:rsidRDefault="007834C2" w:rsidP="007834C2">
            <w:pPr>
              <w:pStyle w:val="Paragraphedeliste"/>
              <w:numPr>
                <w:ilvl w:val="0"/>
                <w:numId w:val="14"/>
              </w:numPr>
            </w:pPr>
            <w:r>
              <w:t>Contribution à l'évaluation et à l’élaboration du plan national de développement sanitaire</w:t>
            </w:r>
          </w:p>
        </w:tc>
      </w:tr>
    </w:tbl>
    <w:p w14:paraId="49803554" w14:textId="21050A45" w:rsidR="003963EE" w:rsidRPr="003963EE" w:rsidRDefault="003963EE" w:rsidP="003963EE">
      <w:pPr>
        <w:tabs>
          <w:tab w:val="left" w:pos="1786"/>
        </w:tabs>
      </w:pPr>
    </w:p>
    <w:tbl>
      <w:tblPr>
        <w:tblStyle w:val="Grilledutableau"/>
        <w:tblpPr w:leftFromText="180" w:rightFromText="180" w:vertAnchor="text" w:horzAnchor="margin" w:tblpY="-105"/>
        <w:tblW w:w="10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9026"/>
      </w:tblGrid>
      <w:tr w:rsidR="00C76D14" w:rsidRPr="00C76D14" w14:paraId="294FC0E2" w14:textId="77777777" w:rsidTr="003963EE">
        <w:trPr>
          <w:trHeight w:val="333"/>
        </w:trPr>
        <w:tc>
          <w:tcPr>
            <w:tcW w:w="1838" w:type="dxa"/>
          </w:tcPr>
          <w:p w14:paraId="1636C490" w14:textId="4E2DDBEC" w:rsidR="00C76D14" w:rsidRPr="009274A4" w:rsidRDefault="00C76D14" w:rsidP="00C76D14">
            <w:pPr>
              <w:shd w:val="clear" w:color="auto" w:fill="FFFFFF"/>
              <w:rPr>
                <w:rFonts w:eastAsia="Times New Roman"/>
                <w:color w:val="404B5B"/>
                <w:sz w:val="20"/>
                <w:szCs w:val="20"/>
                <w:lang w:val="en-US"/>
              </w:rPr>
            </w:pPr>
            <w:r w:rsidRPr="00F477DE">
              <w:rPr>
                <w:rFonts w:eastAsia="Times New Roman"/>
                <w:color w:val="404B5B"/>
                <w:sz w:val="20"/>
                <w:szCs w:val="20"/>
              </w:rPr>
              <w:lastRenderedPageBreak/>
              <w:t>07/2020 – 12/2020</w:t>
            </w:r>
          </w:p>
        </w:tc>
        <w:tc>
          <w:tcPr>
            <w:tcW w:w="9026" w:type="dxa"/>
          </w:tcPr>
          <w:p w14:paraId="4E1F7EC9" w14:textId="58485DFA" w:rsidR="00C76D14" w:rsidRPr="00C76D14" w:rsidRDefault="00C76D14" w:rsidP="00C76D14">
            <w:pPr>
              <w:shd w:val="clear" w:color="auto" w:fill="FFFFFF"/>
              <w:rPr>
                <w:rFonts w:eastAsia="Times New Roman"/>
                <w:b/>
                <w:bCs/>
                <w:color w:val="1A1E24"/>
              </w:rPr>
            </w:pPr>
            <w:r w:rsidRPr="002A5BC7">
              <w:rPr>
                <w:rFonts w:eastAsia="Times New Roman"/>
                <w:b/>
                <w:bCs/>
                <w:color w:val="1A1E24"/>
              </w:rPr>
              <w:t xml:space="preserve">Renforcement des capacités des ONG locales, </w:t>
            </w:r>
            <w:r w:rsidR="004934C5">
              <w:rPr>
                <w:rFonts w:eastAsia="Times New Roman"/>
                <w:b/>
                <w:bCs/>
                <w:color w:val="1A1E24"/>
              </w:rPr>
              <w:t>consultant</w:t>
            </w:r>
            <w:r w:rsidRPr="002A5BC7">
              <w:rPr>
                <w:rFonts w:eastAsia="Times New Roman"/>
                <w:b/>
                <w:bCs/>
                <w:color w:val="1A1E24"/>
              </w:rPr>
              <w:t xml:space="preserve"> indépendant</w:t>
            </w:r>
            <w:r w:rsidRPr="00C76D14">
              <w:rPr>
                <w:rFonts w:eastAsia="Times New Roman"/>
                <w:b/>
                <w:bCs/>
                <w:color w:val="1A1E24"/>
              </w:rPr>
              <w:t>,</w:t>
            </w:r>
            <w:r w:rsidRPr="00C76D14">
              <w:rPr>
                <w:rFonts w:eastAsia="Times New Roman"/>
                <w:color w:val="1A1E24"/>
              </w:rPr>
              <w:t xml:space="preserve"> </w:t>
            </w:r>
            <w:r w:rsidRPr="00C76D14">
              <w:rPr>
                <w:rFonts w:eastAsia="Times New Roman"/>
                <w:b/>
                <w:bCs/>
                <w:color w:val="404B5B"/>
              </w:rPr>
              <w:t>Abidjan Côte d’Ivoire</w:t>
            </w:r>
          </w:p>
        </w:tc>
      </w:tr>
      <w:tr w:rsidR="00C76D14" w:rsidRPr="00C76D14" w14:paraId="6A384B5F" w14:textId="77777777" w:rsidTr="003963EE">
        <w:trPr>
          <w:trHeight w:val="333"/>
        </w:trPr>
        <w:tc>
          <w:tcPr>
            <w:tcW w:w="1838" w:type="dxa"/>
          </w:tcPr>
          <w:p w14:paraId="73A76C19" w14:textId="77777777" w:rsidR="00C76D14" w:rsidRPr="00C76D14" w:rsidRDefault="00C76D14" w:rsidP="00C76D14">
            <w:pPr>
              <w:shd w:val="clear" w:color="auto" w:fill="FFFFFF"/>
              <w:rPr>
                <w:rFonts w:eastAsia="Times New Roman"/>
                <w:color w:val="404B5B"/>
                <w:sz w:val="20"/>
                <w:szCs w:val="20"/>
              </w:rPr>
            </w:pPr>
          </w:p>
        </w:tc>
        <w:tc>
          <w:tcPr>
            <w:tcW w:w="9026" w:type="dxa"/>
          </w:tcPr>
          <w:p w14:paraId="45EB224A" w14:textId="77777777" w:rsidR="00C76D14" w:rsidRPr="00C76D14" w:rsidRDefault="00C76D14" w:rsidP="00C76D14">
            <w:pPr>
              <w:pStyle w:val="Paragraphedeliste"/>
              <w:numPr>
                <w:ilvl w:val="0"/>
                <w:numId w:val="16"/>
              </w:numPr>
            </w:pPr>
            <w:r w:rsidRPr="008C16E4">
              <w:t>Offrir une formation ciblée sur les partenariats entre les ONG et les entreprises et les stratégies de mobilisation des ressources.</w:t>
            </w:r>
          </w:p>
          <w:p w14:paraId="78EAFEA7" w14:textId="5C66C677" w:rsidR="00C76D14" w:rsidRPr="000E6006" w:rsidRDefault="00C76D14" w:rsidP="000E6006">
            <w:pPr>
              <w:pStyle w:val="Paragraphedeliste"/>
              <w:numPr>
                <w:ilvl w:val="0"/>
                <w:numId w:val="16"/>
              </w:numPr>
              <w:shd w:val="clear" w:color="auto" w:fill="FFFFFF"/>
              <w:rPr>
                <w:rFonts w:eastAsia="Times New Roman"/>
                <w:b/>
                <w:bCs/>
                <w:color w:val="1A1E24"/>
              </w:rPr>
            </w:pPr>
            <w:r w:rsidRPr="008C16E4">
              <w:t xml:space="preserve">Appui technique sur mesure à </w:t>
            </w:r>
            <w:r w:rsidR="000E6006">
              <w:t>des</w:t>
            </w:r>
            <w:r w:rsidRPr="008C16E4">
              <w:t xml:space="preserve"> ONG locale dans l'élaboration de </w:t>
            </w:r>
            <w:r w:rsidR="000E6006">
              <w:t>leur</w:t>
            </w:r>
            <w:r w:rsidRPr="008C16E4">
              <w:t xml:space="preserve"> plan de mobilisation des ressources.</w:t>
            </w:r>
          </w:p>
        </w:tc>
      </w:tr>
      <w:tr w:rsidR="00C76D14" w:rsidRPr="00877091" w14:paraId="71544694" w14:textId="77777777" w:rsidTr="003963EE">
        <w:trPr>
          <w:trHeight w:val="333"/>
        </w:trPr>
        <w:tc>
          <w:tcPr>
            <w:tcW w:w="1838" w:type="dxa"/>
          </w:tcPr>
          <w:p w14:paraId="0CB05B59" w14:textId="77777777" w:rsidR="00C76D14" w:rsidRPr="009274A4" w:rsidRDefault="00C76D14" w:rsidP="00C76D14">
            <w:pPr>
              <w:shd w:val="clear" w:color="auto" w:fill="FFFFFF"/>
              <w:rPr>
                <w:rFonts w:eastAsia="Times New Roman"/>
                <w:color w:val="404B5B"/>
                <w:sz w:val="20"/>
                <w:szCs w:val="20"/>
                <w:lang w:val="en-US"/>
              </w:rPr>
            </w:pPr>
            <w:r w:rsidRPr="009274A4">
              <w:rPr>
                <w:rFonts w:eastAsia="Times New Roman"/>
                <w:color w:val="404B5B"/>
                <w:sz w:val="20"/>
                <w:szCs w:val="20"/>
                <w:lang w:val="en-US"/>
              </w:rPr>
              <w:t>04/2019 – 04/2020</w:t>
            </w:r>
          </w:p>
          <w:p w14:paraId="64AD2505" w14:textId="77777777" w:rsidR="00C76D14" w:rsidRPr="009274A4" w:rsidRDefault="00C76D14" w:rsidP="00C76D14">
            <w:pPr>
              <w:shd w:val="clear" w:color="auto" w:fill="FFFFFF"/>
              <w:rPr>
                <w:rFonts w:eastAsia="Times New Roman"/>
                <w:color w:val="404B5B"/>
                <w:sz w:val="20"/>
                <w:szCs w:val="20"/>
                <w:lang w:val="en-US"/>
              </w:rPr>
            </w:pPr>
          </w:p>
        </w:tc>
        <w:tc>
          <w:tcPr>
            <w:tcW w:w="9026" w:type="dxa"/>
          </w:tcPr>
          <w:p w14:paraId="617219CA" w14:textId="77777777" w:rsidR="00C76D14" w:rsidRPr="001E7202" w:rsidRDefault="00C76D14" w:rsidP="00C76D14">
            <w:pPr>
              <w:shd w:val="clear" w:color="auto" w:fill="FFFFFF"/>
              <w:rPr>
                <w:rFonts w:ascii="Arial" w:eastAsia="Times New Roman" w:hAnsi="Arial"/>
                <w:color w:val="1A1E24"/>
                <w:lang w:val="en-US"/>
              </w:rPr>
            </w:pPr>
            <w:r w:rsidRPr="003A0CA8">
              <w:rPr>
                <w:rFonts w:eastAsia="Times New Roman"/>
                <w:b/>
                <w:bCs/>
                <w:color w:val="1A1E24"/>
                <w:lang w:val="en-US"/>
              </w:rPr>
              <w:t>Senior Officer Partnerships and Resource Development (PRD), International Federation of Red Cross and Red Crescent (IFRC)</w:t>
            </w:r>
            <w:r>
              <w:rPr>
                <w:rFonts w:eastAsia="Times New Roman"/>
                <w:b/>
                <w:bCs/>
                <w:color w:val="1A1E24"/>
                <w:lang w:val="en-US"/>
              </w:rPr>
              <w:t>,</w:t>
            </w:r>
            <w:r>
              <w:rPr>
                <w:rFonts w:ascii="Arial" w:eastAsia="Times New Roman" w:hAnsi="Arial"/>
                <w:color w:val="1A1E24"/>
                <w:lang w:val="en-US"/>
              </w:rPr>
              <w:t xml:space="preserve"> </w:t>
            </w:r>
            <w:r w:rsidRPr="002F6048">
              <w:rPr>
                <w:rFonts w:eastAsia="Times New Roman"/>
                <w:b/>
                <w:bCs/>
                <w:color w:val="404B5B"/>
                <w:lang w:val="en-US"/>
              </w:rPr>
              <w:t>Abidjan, Côte d’Ivoire</w:t>
            </w:r>
          </w:p>
        </w:tc>
      </w:tr>
      <w:tr w:rsidR="00C76D14" w:rsidRPr="007834C2" w14:paraId="48EA6787" w14:textId="77777777" w:rsidTr="003963EE">
        <w:trPr>
          <w:trHeight w:val="333"/>
        </w:trPr>
        <w:tc>
          <w:tcPr>
            <w:tcW w:w="1838" w:type="dxa"/>
          </w:tcPr>
          <w:p w14:paraId="492480B2" w14:textId="77777777" w:rsidR="00C76D14" w:rsidRPr="009274A4" w:rsidRDefault="00C76D14" w:rsidP="00C76D14">
            <w:pPr>
              <w:shd w:val="clear" w:color="auto" w:fill="FFFFFF"/>
              <w:rPr>
                <w:rFonts w:eastAsia="Times New Roman"/>
                <w:color w:val="404B5B"/>
                <w:sz w:val="20"/>
                <w:szCs w:val="20"/>
                <w:lang w:val="en-US"/>
              </w:rPr>
            </w:pPr>
          </w:p>
        </w:tc>
        <w:tc>
          <w:tcPr>
            <w:tcW w:w="9026" w:type="dxa"/>
          </w:tcPr>
          <w:p w14:paraId="17281A8E" w14:textId="19320FFE" w:rsidR="004E17AF" w:rsidRPr="004E17AF" w:rsidRDefault="004E17AF" w:rsidP="004934C5">
            <w:pPr>
              <w:shd w:val="clear" w:color="auto" w:fill="FFFFFF"/>
              <w:rPr>
                <w:rFonts w:eastAsia="Times New Roman"/>
                <w:color w:val="1A1E24"/>
              </w:rPr>
            </w:pPr>
            <w:r w:rsidRPr="004E17AF">
              <w:rPr>
                <w:rFonts w:eastAsia="Times New Roman"/>
                <w:color w:val="1A1E24"/>
              </w:rPr>
              <w:t>• Développement et consolidation des relations avec la BAD et d'autres partenaires stratégiques.</w:t>
            </w:r>
          </w:p>
          <w:p w14:paraId="35B5FE2D" w14:textId="6F7FE99D" w:rsidR="004E17AF" w:rsidRPr="004E17AF" w:rsidRDefault="004E17AF" w:rsidP="004934C5">
            <w:pPr>
              <w:shd w:val="clear" w:color="auto" w:fill="FFFFFF"/>
              <w:rPr>
                <w:rFonts w:eastAsia="Times New Roman"/>
                <w:color w:val="1A1E24"/>
              </w:rPr>
            </w:pPr>
            <w:r w:rsidRPr="004E17AF">
              <w:rPr>
                <w:rFonts w:eastAsia="Times New Roman"/>
                <w:color w:val="1A1E24"/>
              </w:rPr>
              <w:t>• Appui au développement des ressources dans trois zones géographiques (Sahel, Côte Ouest et Afrique centrale).</w:t>
            </w:r>
          </w:p>
          <w:p w14:paraId="65579BA8" w14:textId="39BBAA45" w:rsidR="004E17AF" w:rsidRPr="004E17AF" w:rsidRDefault="004E17AF" w:rsidP="004934C5">
            <w:pPr>
              <w:shd w:val="clear" w:color="auto" w:fill="FFFFFF"/>
              <w:rPr>
                <w:rFonts w:eastAsia="Times New Roman"/>
                <w:color w:val="1A1E24"/>
              </w:rPr>
            </w:pPr>
            <w:r w:rsidRPr="004E17AF">
              <w:rPr>
                <w:rFonts w:eastAsia="Times New Roman"/>
                <w:color w:val="1A1E24"/>
              </w:rPr>
              <w:t>• Implication des pays de la Côte Ouest dans le projet One Wash financé par la BID.</w:t>
            </w:r>
          </w:p>
          <w:p w14:paraId="05CBA7A1" w14:textId="6F4B6056" w:rsidR="004E17AF" w:rsidRPr="004E17AF" w:rsidRDefault="004E17AF" w:rsidP="004934C5">
            <w:pPr>
              <w:shd w:val="clear" w:color="auto" w:fill="FFFFFF"/>
              <w:rPr>
                <w:rFonts w:eastAsia="Times New Roman"/>
                <w:color w:val="1A1E24"/>
              </w:rPr>
            </w:pPr>
            <w:r w:rsidRPr="004E17AF">
              <w:rPr>
                <w:rFonts w:eastAsia="Times New Roman"/>
                <w:color w:val="1A1E24"/>
              </w:rPr>
              <w:t>• Relations avec les ministères de la Santé de la RDC et de la RCA dans le cadre des procédures d'acquisition de fonds de la Banque mondiale.</w:t>
            </w:r>
          </w:p>
          <w:p w14:paraId="6F9415B6" w14:textId="7F18A3A8" w:rsidR="004E17AF" w:rsidRPr="004E17AF" w:rsidRDefault="004E17AF" w:rsidP="004934C5">
            <w:pPr>
              <w:shd w:val="clear" w:color="auto" w:fill="FFFFFF"/>
              <w:rPr>
                <w:rFonts w:eastAsia="Times New Roman"/>
                <w:color w:val="1A1E24"/>
              </w:rPr>
            </w:pPr>
            <w:r w:rsidRPr="004E17AF">
              <w:rPr>
                <w:rFonts w:eastAsia="Times New Roman"/>
                <w:color w:val="1A1E24"/>
              </w:rPr>
              <w:t>• Gestion des subventions (UNICEF, PNUD, HCR, Sociétés de la Croix-Rouge).</w:t>
            </w:r>
          </w:p>
          <w:p w14:paraId="34A56A43" w14:textId="1F11CB26" w:rsidR="00FA78BB" w:rsidRPr="007834C2" w:rsidRDefault="004E17AF" w:rsidP="004934C5">
            <w:pPr>
              <w:shd w:val="clear" w:color="auto" w:fill="FFFFFF"/>
              <w:rPr>
                <w:rFonts w:eastAsia="Times New Roman"/>
                <w:color w:val="1A1E24"/>
              </w:rPr>
            </w:pPr>
            <w:r w:rsidRPr="004E17AF">
              <w:rPr>
                <w:rFonts w:eastAsia="Times New Roman"/>
                <w:color w:val="1A1E24"/>
              </w:rPr>
              <w:t>• Coordination des rapports aux bailleurs de fonds.</w:t>
            </w:r>
          </w:p>
        </w:tc>
      </w:tr>
      <w:tr w:rsidR="00C76D14" w:rsidRPr="00100687" w14:paraId="1ADD60E6" w14:textId="77777777" w:rsidTr="003963EE">
        <w:trPr>
          <w:trHeight w:val="333"/>
        </w:trPr>
        <w:tc>
          <w:tcPr>
            <w:tcW w:w="1838" w:type="dxa"/>
          </w:tcPr>
          <w:p w14:paraId="6392820E" w14:textId="77777777" w:rsidR="00C76D14" w:rsidRPr="009274A4" w:rsidRDefault="00C76D14" w:rsidP="00C76D14">
            <w:pPr>
              <w:shd w:val="clear" w:color="auto" w:fill="FFFFFF"/>
              <w:rPr>
                <w:rFonts w:eastAsia="Times New Roman"/>
                <w:color w:val="404B5B"/>
                <w:sz w:val="20"/>
                <w:szCs w:val="20"/>
                <w:lang w:val="en-US"/>
              </w:rPr>
            </w:pPr>
            <w:r w:rsidRPr="009274A4">
              <w:rPr>
                <w:rFonts w:eastAsia="Times New Roman"/>
                <w:color w:val="404B5B"/>
                <w:sz w:val="20"/>
                <w:szCs w:val="20"/>
                <w:lang w:val="en-US"/>
              </w:rPr>
              <w:t>01/2012 – 04/2019</w:t>
            </w:r>
          </w:p>
          <w:p w14:paraId="06942F07" w14:textId="77777777" w:rsidR="00C76D14" w:rsidRPr="009274A4" w:rsidRDefault="00C76D14" w:rsidP="00C76D14">
            <w:pPr>
              <w:shd w:val="clear" w:color="auto" w:fill="FFFFFF"/>
              <w:rPr>
                <w:rFonts w:eastAsia="Times New Roman"/>
                <w:color w:val="404B5B"/>
                <w:sz w:val="20"/>
                <w:szCs w:val="20"/>
              </w:rPr>
            </w:pPr>
          </w:p>
        </w:tc>
        <w:tc>
          <w:tcPr>
            <w:tcW w:w="9026" w:type="dxa"/>
          </w:tcPr>
          <w:p w14:paraId="7DDCCE25" w14:textId="447D499A" w:rsidR="00C76D14" w:rsidRPr="00D91A13" w:rsidRDefault="0078653B" w:rsidP="00C76D14">
            <w:pPr>
              <w:shd w:val="clear" w:color="auto" w:fill="FFFFFF"/>
              <w:rPr>
                <w:rFonts w:ascii="Arial" w:eastAsia="Times New Roman" w:hAnsi="Arial"/>
                <w:color w:val="1A1E24"/>
                <w:lang w:val="en-US"/>
              </w:rPr>
            </w:pPr>
            <w:r w:rsidRPr="00D91A13">
              <w:rPr>
                <w:rFonts w:eastAsia="Times New Roman"/>
                <w:b/>
                <w:bCs/>
                <w:color w:val="1A1E24"/>
              </w:rPr>
              <w:t xml:space="preserve">Chef du département Communication et mobilisation des ressources, Croix-Rouge.  </w:t>
            </w:r>
            <w:r w:rsidR="00C76D14" w:rsidRPr="002F6048">
              <w:rPr>
                <w:rFonts w:eastAsia="Times New Roman"/>
                <w:b/>
                <w:bCs/>
                <w:color w:val="404B5B"/>
                <w:lang w:val="en-US"/>
              </w:rPr>
              <w:t>Abidjan, Côte d’Ivoire</w:t>
            </w:r>
          </w:p>
        </w:tc>
      </w:tr>
      <w:tr w:rsidR="00C76D14" w:rsidRPr="0078653B" w14:paraId="5B1762B8" w14:textId="77777777" w:rsidTr="003963EE">
        <w:trPr>
          <w:trHeight w:val="316"/>
        </w:trPr>
        <w:tc>
          <w:tcPr>
            <w:tcW w:w="1838" w:type="dxa"/>
          </w:tcPr>
          <w:p w14:paraId="39DB09FB" w14:textId="77777777" w:rsidR="00C76D14" w:rsidRPr="009274A4" w:rsidRDefault="00C76D14" w:rsidP="00C76D14">
            <w:pPr>
              <w:shd w:val="clear" w:color="auto" w:fill="FFFFFF"/>
              <w:rPr>
                <w:rFonts w:eastAsia="Times New Roman"/>
                <w:color w:val="404B5B"/>
                <w:sz w:val="20"/>
                <w:szCs w:val="20"/>
                <w:lang w:val="en-US"/>
              </w:rPr>
            </w:pPr>
          </w:p>
        </w:tc>
        <w:tc>
          <w:tcPr>
            <w:tcW w:w="9026" w:type="dxa"/>
          </w:tcPr>
          <w:p w14:paraId="347ACF8B" w14:textId="25ADB27B" w:rsidR="0078653B" w:rsidRPr="0078653B" w:rsidRDefault="0078653B" w:rsidP="004934C5">
            <w:pPr>
              <w:pStyle w:val="Paragraphedeliste"/>
              <w:numPr>
                <w:ilvl w:val="0"/>
                <w:numId w:val="20"/>
              </w:numPr>
              <w:ind w:left="360"/>
            </w:pPr>
            <w:r w:rsidRPr="0043248C">
              <w:t xml:space="preserve">Exécution d'initiatives de renforcement des capacités </w:t>
            </w:r>
            <w:r>
              <w:t>d</w:t>
            </w:r>
            <w:r w:rsidRPr="0043248C">
              <w:t xml:space="preserve">es </w:t>
            </w:r>
            <w:r>
              <w:t>branches</w:t>
            </w:r>
            <w:r w:rsidRPr="0043248C">
              <w:t xml:space="preserve"> locales, en améliorant leurs capacités opérationnelles dans le cadre de partenariats </w:t>
            </w:r>
            <w:r w:rsidR="00242D1A">
              <w:t>mis</w:t>
            </w:r>
            <w:r>
              <w:t xml:space="preserve"> en place </w:t>
            </w:r>
            <w:r w:rsidRPr="0043248C">
              <w:t xml:space="preserve">et de </w:t>
            </w:r>
            <w:r>
              <w:t xml:space="preserve">la </w:t>
            </w:r>
            <w:r w:rsidRPr="0043248C">
              <w:t>mobilisation de ressources</w:t>
            </w:r>
            <w:r>
              <w:t xml:space="preserve"> en général</w:t>
            </w:r>
            <w:r w:rsidRPr="0043248C">
              <w:t>.</w:t>
            </w:r>
          </w:p>
          <w:p w14:paraId="6678E89A" w14:textId="7952D5C5" w:rsidR="0078653B" w:rsidRPr="0078653B" w:rsidRDefault="00784FFB" w:rsidP="004934C5">
            <w:pPr>
              <w:pStyle w:val="Paragraphedeliste"/>
              <w:numPr>
                <w:ilvl w:val="0"/>
                <w:numId w:val="20"/>
              </w:numPr>
              <w:ind w:left="360"/>
            </w:pPr>
            <w:r>
              <w:t xml:space="preserve">Développement du centre </w:t>
            </w:r>
            <w:r w:rsidR="0078653B" w:rsidRPr="0043248C">
              <w:t xml:space="preserve">de formation </w:t>
            </w:r>
            <w:r>
              <w:t xml:space="preserve">en premiers secours </w:t>
            </w:r>
            <w:r w:rsidR="0078653B" w:rsidRPr="0043248C">
              <w:t xml:space="preserve">et d'ateliers adaptés aux besoins </w:t>
            </w:r>
            <w:r w:rsidR="00C77EA2">
              <w:t>des entreprises, animation d’ateliers de formation des formateurs</w:t>
            </w:r>
            <w:r w:rsidR="0078653B" w:rsidRPr="0043248C">
              <w:t>.</w:t>
            </w:r>
          </w:p>
          <w:p w14:paraId="4780455F" w14:textId="77777777" w:rsidR="0078653B" w:rsidRPr="0078653B" w:rsidRDefault="0078653B" w:rsidP="004934C5">
            <w:pPr>
              <w:pStyle w:val="Paragraphedeliste"/>
              <w:numPr>
                <w:ilvl w:val="0"/>
                <w:numId w:val="20"/>
              </w:numPr>
              <w:ind w:left="360"/>
            </w:pPr>
            <w:r w:rsidRPr="0043248C">
              <w:t>Coaching en ligne et soutien sur le terrain pour favoriser le développement des compétences.</w:t>
            </w:r>
          </w:p>
          <w:p w14:paraId="45CCC110" w14:textId="1EF216CB" w:rsidR="00C76D14" w:rsidRPr="0078653B" w:rsidRDefault="0078653B" w:rsidP="004934C5">
            <w:pPr>
              <w:numPr>
                <w:ilvl w:val="0"/>
                <w:numId w:val="1"/>
              </w:numPr>
              <w:ind w:left="360"/>
            </w:pPr>
            <w:r w:rsidRPr="0043248C">
              <w:t>Formulation de cadres de planification stratégique pour stimuler la croissance et la durabilité de l'organisation.</w:t>
            </w:r>
          </w:p>
        </w:tc>
      </w:tr>
      <w:tr w:rsidR="00C76D14" w14:paraId="1ACEE34A" w14:textId="77777777" w:rsidTr="003963EE">
        <w:trPr>
          <w:trHeight w:val="309"/>
        </w:trPr>
        <w:tc>
          <w:tcPr>
            <w:tcW w:w="1838" w:type="dxa"/>
          </w:tcPr>
          <w:p w14:paraId="2B3319DE" w14:textId="77777777" w:rsidR="00C76D14" w:rsidRPr="009274A4" w:rsidRDefault="00C76D14" w:rsidP="00C76D14">
            <w:pPr>
              <w:shd w:val="clear" w:color="auto" w:fill="FFFFFF"/>
              <w:rPr>
                <w:rFonts w:eastAsia="Times New Roman"/>
                <w:color w:val="404B5B"/>
                <w:sz w:val="20"/>
                <w:szCs w:val="20"/>
              </w:rPr>
            </w:pPr>
            <w:r w:rsidRPr="009274A4">
              <w:rPr>
                <w:rFonts w:eastAsia="Times New Roman"/>
                <w:color w:val="404B5B"/>
                <w:sz w:val="20"/>
                <w:szCs w:val="20"/>
              </w:rPr>
              <w:t>02/2016 – 01/2017</w:t>
            </w:r>
          </w:p>
        </w:tc>
        <w:tc>
          <w:tcPr>
            <w:tcW w:w="9026" w:type="dxa"/>
          </w:tcPr>
          <w:p w14:paraId="62741823" w14:textId="74D9E71C" w:rsidR="00C76D14" w:rsidRPr="00C77EA2" w:rsidRDefault="00C77EA2" w:rsidP="00C76D14">
            <w:pPr>
              <w:shd w:val="clear" w:color="auto" w:fill="FFFFFF"/>
              <w:rPr>
                <w:rFonts w:ascii="Arial" w:eastAsia="Times New Roman" w:hAnsi="Arial"/>
                <w:color w:val="1A1E24"/>
              </w:rPr>
            </w:pPr>
            <w:r w:rsidRPr="002F6048">
              <w:rPr>
                <w:rFonts w:ascii="Arial" w:eastAsia="Times New Roman" w:hAnsi="Arial"/>
                <w:b/>
                <w:bCs/>
                <w:color w:val="1A1E24"/>
              </w:rPr>
              <w:t xml:space="preserve">Chef du Département des finances, </w:t>
            </w:r>
            <w:r w:rsidRPr="00D91A13">
              <w:rPr>
                <w:rFonts w:eastAsia="Times New Roman"/>
                <w:b/>
                <w:bCs/>
                <w:color w:val="1A1E24"/>
              </w:rPr>
              <w:t>Croix-Rouge</w:t>
            </w:r>
            <w:r w:rsidR="00C76D14" w:rsidRPr="00C77EA2">
              <w:rPr>
                <w:rFonts w:eastAsia="Times New Roman"/>
                <w:b/>
                <w:bCs/>
                <w:color w:val="1A1E24"/>
              </w:rPr>
              <w:t>.</w:t>
            </w:r>
            <w:r w:rsidR="00C76D14" w:rsidRPr="00C77EA2">
              <w:rPr>
                <w:rFonts w:ascii="Arial" w:eastAsia="Times New Roman" w:hAnsi="Arial"/>
                <w:color w:val="1A1E24"/>
              </w:rPr>
              <w:t xml:space="preserve">  </w:t>
            </w:r>
            <w:r w:rsidR="00C76D14" w:rsidRPr="00C77EA2">
              <w:rPr>
                <w:rFonts w:eastAsia="Times New Roman"/>
                <w:b/>
                <w:bCs/>
                <w:color w:val="404B5B"/>
              </w:rPr>
              <w:t>Abidjan, Côte d’Ivoire</w:t>
            </w:r>
          </w:p>
        </w:tc>
      </w:tr>
      <w:tr w:rsidR="00C76D14" w:rsidRPr="00C77EA2" w14:paraId="34B69111" w14:textId="77777777" w:rsidTr="003963EE">
        <w:trPr>
          <w:trHeight w:val="333"/>
        </w:trPr>
        <w:tc>
          <w:tcPr>
            <w:tcW w:w="1838" w:type="dxa"/>
          </w:tcPr>
          <w:p w14:paraId="0DF248EE" w14:textId="77777777" w:rsidR="00C76D14" w:rsidRPr="00C77EA2" w:rsidRDefault="00C76D14" w:rsidP="00C76D14">
            <w:pPr>
              <w:shd w:val="clear" w:color="auto" w:fill="FFFFFF"/>
              <w:rPr>
                <w:rFonts w:eastAsia="Times New Roman"/>
                <w:color w:val="404B5B"/>
                <w:sz w:val="20"/>
                <w:szCs w:val="20"/>
              </w:rPr>
            </w:pPr>
          </w:p>
        </w:tc>
        <w:tc>
          <w:tcPr>
            <w:tcW w:w="9026" w:type="dxa"/>
          </w:tcPr>
          <w:p w14:paraId="22E48B09" w14:textId="4B1A10B3" w:rsidR="00C76D14" w:rsidRPr="00C77EA2" w:rsidRDefault="00C77EA2" w:rsidP="00C76D14">
            <w:pPr>
              <w:pStyle w:val="Paragraphedeliste"/>
              <w:numPr>
                <w:ilvl w:val="0"/>
                <w:numId w:val="5"/>
              </w:numPr>
            </w:pPr>
            <w:r w:rsidRPr="00350B8C">
              <w:t>Coordination et rationalisation des activités du département financier, assurant l'efficacité opérationnelle</w:t>
            </w:r>
          </w:p>
        </w:tc>
      </w:tr>
      <w:tr w:rsidR="00C76D14" w14:paraId="07826CBB" w14:textId="77777777" w:rsidTr="003963EE">
        <w:trPr>
          <w:trHeight w:val="316"/>
        </w:trPr>
        <w:tc>
          <w:tcPr>
            <w:tcW w:w="1838" w:type="dxa"/>
          </w:tcPr>
          <w:p w14:paraId="5AE806E0" w14:textId="77777777" w:rsidR="00C76D14" w:rsidRPr="009274A4" w:rsidRDefault="00C76D14" w:rsidP="00C76D14">
            <w:pPr>
              <w:shd w:val="clear" w:color="auto" w:fill="FFFFFF"/>
              <w:rPr>
                <w:rFonts w:eastAsia="Times New Roman"/>
                <w:color w:val="404B5B"/>
                <w:sz w:val="20"/>
                <w:szCs w:val="20"/>
              </w:rPr>
            </w:pPr>
            <w:r w:rsidRPr="009274A4">
              <w:rPr>
                <w:rFonts w:eastAsia="Times New Roman"/>
                <w:color w:val="404B5B"/>
                <w:sz w:val="20"/>
                <w:szCs w:val="20"/>
              </w:rPr>
              <w:t>06/2015 – 01/2016</w:t>
            </w:r>
          </w:p>
        </w:tc>
        <w:tc>
          <w:tcPr>
            <w:tcW w:w="9026" w:type="dxa"/>
          </w:tcPr>
          <w:p w14:paraId="125CA714" w14:textId="6DE7DB28" w:rsidR="00C76D14" w:rsidRPr="00253148" w:rsidRDefault="00C77EA2" w:rsidP="00C76D14">
            <w:pPr>
              <w:shd w:val="clear" w:color="auto" w:fill="FFFFFF"/>
              <w:rPr>
                <w:rFonts w:eastAsia="Times New Roman"/>
                <w:b/>
                <w:bCs/>
                <w:color w:val="1A1E24"/>
                <w:lang w:val="en-US"/>
              </w:rPr>
            </w:pPr>
            <w:r w:rsidRPr="002F6048">
              <w:rPr>
                <w:rFonts w:ascii="Arial" w:eastAsia="Times New Roman" w:hAnsi="Arial"/>
                <w:b/>
                <w:bCs/>
                <w:color w:val="1A1E24"/>
              </w:rPr>
              <w:t xml:space="preserve">Chef du département des programmes, </w:t>
            </w:r>
            <w:r w:rsidRPr="00D91A13">
              <w:rPr>
                <w:rFonts w:eastAsia="Times New Roman"/>
                <w:b/>
                <w:bCs/>
                <w:color w:val="1A1E24"/>
              </w:rPr>
              <w:t>Croix-Rouge</w:t>
            </w:r>
            <w:r w:rsidR="00C76D14" w:rsidRPr="00C77EA2">
              <w:rPr>
                <w:rFonts w:eastAsia="Times New Roman"/>
                <w:b/>
                <w:bCs/>
                <w:color w:val="1A1E24"/>
              </w:rPr>
              <w:t>.</w:t>
            </w:r>
            <w:r w:rsidR="00C76D14" w:rsidRPr="00C77EA2">
              <w:rPr>
                <w:rFonts w:ascii="Arial" w:eastAsia="Times New Roman" w:hAnsi="Arial"/>
                <w:color w:val="1A1E24"/>
              </w:rPr>
              <w:t xml:space="preserve">  </w:t>
            </w:r>
            <w:r w:rsidR="00C76D14" w:rsidRPr="002F6048">
              <w:rPr>
                <w:rFonts w:eastAsia="Times New Roman"/>
                <w:b/>
                <w:bCs/>
                <w:color w:val="404B5B"/>
                <w:lang w:val="en-US"/>
              </w:rPr>
              <w:t>Abidjan, Côte d’Ivoire</w:t>
            </w:r>
          </w:p>
        </w:tc>
      </w:tr>
      <w:tr w:rsidR="00C76D14" w:rsidRPr="00536E1B" w14:paraId="142E28DE" w14:textId="77777777" w:rsidTr="003963EE">
        <w:trPr>
          <w:trHeight w:val="316"/>
        </w:trPr>
        <w:tc>
          <w:tcPr>
            <w:tcW w:w="1838" w:type="dxa"/>
          </w:tcPr>
          <w:p w14:paraId="3191F9D5" w14:textId="77777777" w:rsidR="00C76D14" w:rsidRPr="009274A4" w:rsidRDefault="00C76D14" w:rsidP="00C76D14">
            <w:pPr>
              <w:shd w:val="clear" w:color="auto" w:fill="FFFFFF"/>
              <w:rPr>
                <w:rFonts w:eastAsia="Times New Roman"/>
                <w:color w:val="404B5B"/>
                <w:sz w:val="20"/>
                <w:szCs w:val="20"/>
                <w:lang w:val="en-US"/>
              </w:rPr>
            </w:pPr>
          </w:p>
        </w:tc>
        <w:tc>
          <w:tcPr>
            <w:tcW w:w="9026" w:type="dxa"/>
          </w:tcPr>
          <w:p w14:paraId="482A2730" w14:textId="07F94080" w:rsidR="00C76D14" w:rsidRPr="00536E1B" w:rsidRDefault="00536E1B" w:rsidP="00C76D14">
            <w:pPr>
              <w:pStyle w:val="Paragraphedeliste"/>
              <w:numPr>
                <w:ilvl w:val="0"/>
                <w:numId w:val="6"/>
              </w:numPr>
            </w:pPr>
            <w:r w:rsidRPr="00536E1B">
              <w:t xml:space="preserve">Coordination des activités </w:t>
            </w:r>
            <w:r>
              <w:t xml:space="preserve">du </w:t>
            </w:r>
            <w:r w:rsidRPr="00536E1B">
              <w:t>département afin d'assurer leur alignement avec les objectifs organisationnels</w:t>
            </w:r>
          </w:p>
        </w:tc>
      </w:tr>
      <w:tr w:rsidR="00C76D14" w:rsidRPr="00C77EA2" w14:paraId="17A4AEB2" w14:textId="77777777" w:rsidTr="003963EE">
        <w:trPr>
          <w:trHeight w:val="316"/>
        </w:trPr>
        <w:tc>
          <w:tcPr>
            <w:tcW w:w="1838" w:type="dxa"/>
          </w:tcPr>
          <w:p w14:paraId="49E28A9D" w14:textId="77777777" w:rsidR="00C76D14" w:rsidRPr="009274A4" w:rsidRDefault="00C76D14" w:rsidP="00C76D14">
            <w:pPr>
              <w:shd w:val="clear" w:color="auto" w:fill="FFFFFF"/>
              <w:rPr>
                <w:rFonts w:eastAsia="Times New Roman"/>
                <w:color w:val="404B5B"/>
                <w:sz w:val="20"/>
                <w:szCs w:val="20"/>
              </w:rPr>
            </w:pPr>
            <w:r w:rsidRPr="009274A4">
              <w:rPr>
                <w:rFonts w:eastAsia="Times New Roman"/>
                <w:color w:val="404B5B"/>
                <w:sz w:val="20"/>
                <w:szCs w:val="20"/>
              </w:rPr>
              <w:t>01/2010 – 12/2011</w:t>
            </w:r>
          </w:p>
        </w:tc>
        <w:tc>
          <w:tcPr>
            <w:tcW w:w="9026" w:type="dxa"/>
          </w:tcPr>
          <w:p w14:paraId="12EC8B32" w14:textId="3BA26BBC" w:rsidR="00C76D14" w:rsidRPr="00C77EA2" w:rsidRDefault="00C77EA2" w:rsidP="00C76D14">
            <w:pPr>
              <w:shd w:val="clear" w:color="auto" w:fill="FFFFFF"/>
              <w:rPr>
                <w:rFonts w:ascii="Arial" w:eastAsia="Times New Roman" w:hAnsi="Arial"/>
                <w:b/>
                <w:bCs/>
                <w:color w:val="1A1E24"/>
              </w:rPr>
            </w:pPr>
            <w:r w:rsidRPr="00350B8C">
              <w:rPr>
                <w:rFonts w:ascii="Arial" w:eastAsia="Times New Roman" w:hAnsi="Arial"/>
                <w:b/>
                <w:bCs/>
                <w:color w:val="1A1E24"/>
              </w:rPr>
              <w:t xml:space="preserve">Responsable Grands Comptes &amp; Spécialités, Pfizer Afrique de l’Ouest </w:t>
            </w:r>
            <w:r w:rsidRPr="00C77EA2">
              <w:rPr>
                <w:rFonts w:ascii="Arial" w:eastAsia="Times New Roman" w:hAnsi="Arial"/>
                <w:b/>
                <w:bCs/>
                <w:color w:val="808080" w:themeColor="background1" w:themeShade="80"/>
              </w:rPr>
              <w:t>Abidjan</w:t>
            </w:r>
            <w:r w:rsidR="00C76D14" w:rsidRPr="00C77EA2">
              <w:rPr>
                <w:rFonts w:eastAsia="Times New Roman"/>
                <w:b/>
                <w:bCs/>
                <w:color w:val="404B5B"/>
              </w:rPr>
              <w:t>, Côte d’Ivoire</w:t>
            </w:r>
          </w:p>
        </w:tc>
      </w:tr>
      <w:tr w:rsidR="00C76D14" w14:paraId="4B04A0FF" w14:textId="77777777" w:rsidTr="003963EE">
        <w:trPr>
          <w:trHeight w:val="316"/>
        </w:trPr>
        <w:tc>
          <w:tcPr>
            <w:tcW w:w="1838" w:type="dxa"/>
          </w:tcPr>
          <w:p w14:paraId="23CE989D" w14:textId="77777777" w:rsidR="00C76D14" w:rsidRPr="00C77EA2" w:rsidRDefault="00C76D14" w:rsidP="00C76D14">
            <w:pPr>
              <w:shd w:val="clear" w:color="auto" w:fill="FFFFFF"/>
              <w:rPr>
                <w:rFonts w:eastAsia="Times New Roman"/>
                <w:color w:val="404B5B"/>
                <w:sz w:val="20"/>
                <w:szCs w:val="20"/>
              </w:rPr>
            </w:pPr>
          </w:p>
        </w:tc>
        <w:tc>
          <w:tcPr>
            <w:tcW w:w="9026" w:type="dxa"/>
          </w:tcPr>
          <w:p w14:paraId="43ED760C" w14:textId="69F646FB" w:rsidR="00D70674" w:rsidRPr="00D70674" w:rsidRDefault="00D70674" w:rsidP="00D70674">
            <w:pPr>
              <w:pStyle w:val="Paragraphedeliste"/>
              <w:numPr>
                <w:ilvl w:val="0"/>
                <w:numId w:val="6"/>
              </w:numPr>
            </w:pPr>
            <w:r>
              <w:t>Développement</w:t>
            </w:r>
            <w:r w:rsidRPr="00350B8C">
              <w:t xml:space="preserve"> de stratégies </w:t>
            </w:r>
            <w:r>
              <w:t>et lancement des</w:t>
            </w:r>
            <w:r w:rsidRPr="00350B8C">
              <w:t xml:space="preserve"> produits de spécialité en Côte d'Ivoire, au Togo et au Bénin.</w:t>
            </w:r>
          </w:p>
          <w:p w14:paraId="67D0A987" w14:textId="07D68494" w:rsidR="00C76D14" w:rsidRPr="001E7202" w:rsidRDefault="00D70674" w:rsidP="00C76D14">
            <w:pPr>
              <w:numPr>
                <w:ilvl w:val="0"/>
                <w:numId w:val="7"/>
              </w:numPr>
            </w:pPr>
            <w:r w:rsidRPr="00350B8C">
              <w:t>Renforcement de la présence sur les marchés publics en Côte d'Ivoire, au Libéria et en Sierra Leone</w:t>
            </w:r>
            <w:r w:rsidR="00C76D14" w:rsidRPr="00350B8C">
              <w:t>.</w:t>
            </w:r>
          </w:p>
        </w:tc>
      </w:tr>
      <w:tr w:rsidR="00C76D14" w:rsidRPr="00D70674" w14:paraId="135DB6DC" w14:textId="77777777" w:rsidTr="003963EE">
        <w:trPr>
          <w:trHeight w:val="316"/>
        </w:trPr>
        <w:tc>
          <w:tcPr>
            <w:tcW w:w="1838" w:type="dxa"/>
          </w:tcPr>
          <w:p w14:paraId="0BA12145" w14:textId="77777777" w:rsidR="00C76D14" w:rsidRPr="009274A4" w:rsidRDefault="00C76D14" w:rsidP="00C76D14">
            <w:pPr>
              <w:shd w:val="clear" w:color="auto" w:fill="FFFFFF"/>
              <w:rPr>
                <w:rFonts w:eastAsia="Times New Roman"/>
                <w:color w:val="404B5B"/>
                <w:sz w:val="20"/>
                <w:szCs w:val="20"/>
              </w:rPr>
            </w:pPr>
            <w:r w:rsidRPr="009274A4">
              <w:rPr>
                <w:rFonts w:eastAsia="Times New Roman"/>
                <w:color w:val="404B5B"/>
                <w:sz w:val="20"/>
                <w:szCs w:val="20"/>
              </w:rPr>
              <w:t>03/2005 – 12/2009</w:t>
            </w:r>
          </w:p>
        </w:tc>
        <w:tc>
          <w:tcPr>
            <w:tcW w:w="9026" w:type="dxa"/>
          </w:tcPr>
          <w:p w14:paraId="3F86043F" w14:textId="656621AB" w:rsidR="00C76D14" w:rsidRPr="00D70674" w:rsidRDefault="00D70674" w:rsidP="00C76D14">
            <w:r>
              <w:rPr>
                <w:rFonts w:ascii="Arial" w:eastAsia="Times New Roman" w:hAnsi="Arial"/>
                <w:b/>
                <w:bCs/>
                <w:color w:val="1A1E24"/>
              </w:rPr>
              <w:t>Visiteur Médical S</w:t>
            </w:r>
            <w:r w:rsidRPr="005C521A">
              <w:rPr>
                <w:rFonts w:ascii="Arial" w:eastAsia="Times New Roman" w:hAnsi="Arial"/>
                <w:b/>
                <w:bCs/>
                <w:color w:val="1A1E24"/>
              </w:rPr>
              <w:t>pécialisé</w:t>
            </w:r>
            <w:r w:rsidRPr="0031525D">
              <w:rPr>
                <w:rFonts w:ascii="Arial" w:eastAsia="Times New Roman" w:hAnsi="Arial"/>
                <w:color w:val="1A1E24"/>
              </w:rPr>
              <w:t xml:space="preserve">, </w:t>
            </w:r>
            <w:r w:rsidRPr="00350B8C">
              <w:rPr>
                <w:rFonts w:ascii="Arial" w:eastAsia="Times New Roman" w:hAnsi="Arial"/>
                <w:b/>
                <w:bCs/>
                <w:color w:val="1A1E24"/>
              </w:rPr>
              <w:t xml:space="preserve">Pfizer Afrique de l'Ouest </w:t>
            </w:r>
            <w:r w:rsidR="00C76D14" w:rsidRPr="00D70674">
              <w:rPr>
                <w:rFonts w:eastAsia="Times New Roman"/>
                <w:b/>
                <w:bCs/>
                <w:color w:val="404B5B"/>
              </w:rPr>
              <w:t>Abidjan, Côte d’Ivoire</w:t>
            </w:r>
          </w:p>
        </w:tc>
      </w:tr>
      <w:tr w:rsidR="00C76D14" w:rsidRPr="00D70674" w14:paraId="05045FF2" w14:textId="77777777" w:rsidTr="003963EE">
        <w:trPr>
          <w:trHeight w:val="316"/>
        </w:trPr>
        <w:tc>
          <w:tcPr>
            <w:tcW w:w="1838" w:type="dxa"/>
          </w:tcPr>
          <w:p w14:paraId="0D3CE4D3" w14:textId="77777777" w:rsidR="00C76D14" w:rsidRPr="00D70674" w:rsidRDefault="00C76D14" w:rsidP="00C76D14">
            <w:pPr>
              <w:shd w:val="clear" w:color="auto" w:fill="FFFFFF"/>
              <w:rPr>
                <w:rFonts w:eastAsia="Times New Roman"/>
                <w:color w:val="404B5B"/>
                <w:sz w:val="20"/>
                <w:szCs w:val="20"/>
              </w:rPr>
            </w:pPr>
          </w:p>
        </w:tc>
        <w:tc>
          <w:tcPr>
            <w:tcW w:w="9026" w:type="dxa"/>
          </w:tcPr>
          <w:p w14:paraId="74233064" w14:textId="7E78564D" w:rsidR="00C76D14" w:rsidRPr="00D70674" w:rsidRDefault="00D70674" w:rsidP="00C76D14">
            <w:pPr>
              <w:pStyle w:val="Paragraphedeliste"/>
              <w:numPr>
                <w:ilvl w:val="0"/>
                <w:numId w:val="6"/>
              </w:numPr>
            </w:pPr>
            <w:r w:rsidRPr="005C521A">
              <w:t>Ingénierie du développement de produits spécialisés en Côte d'Ivoire, au Togo et au Bénin</w:t>
            </w:r>
          </w:p>
        </w:tc>
      </w:tr>
      <w:tr w:rsidR="00C76D14" w:rsidRPr="00792251" w14:paraId="7C576214" w14:textId="77777777" w:rsidTr="003963EE">
        <w:trPr>
          <w:trHeight w:val="316"/>
        </w:trPr>
        <w:tc>
          <w:tcPr>
            <w:tcW w:w="1838" w:type="dxa"/>
          </w:tcPr>
          <w:p w14:paraId="13E184E2" w14:textId="77777777" w:rsidR="00C76D14" w:rsidRPr="009274A4" w:rsidRDefault="00C76D14" w:rsidP="00C76D14">
            <w:pPr>
              <w:shd w:val="clear" w:color="auto" w:fill="FFFFFF"/>
              <w:rPr>
                <w:rFonts w:eastAsia="Times New Roman"/>
                <w:color w:val="404B5B"/>
                <w:sz w:val="20"/>
                <w:szCs w:val="20"/>
              </w:rPr>
            </w:pPr>
            <w:r w:rsidRPr="009274A4">
              <w:rPr>
                <w:rFonts w:eastAsia="Times New Roman"/>
                <w:color w:val="404B5B"/>
                <w:sz w:val="20"/>
                <w:szCs w:val="20"/>
              </w:rPr>
              <w:t>01/1996 – 02/2005</w:t>
            </w:r>
          </w:p>
        </w:tc>
        <w:tc>
          <w:tcPr>
            <w:tcW w:w="9026" w:type="dxa"/>
          </w:tcPr>
          <w:p w14:paraId="4DB38DE5" w14:textId="280DEFE4" w:rsidR="00C76D14" w:rsidRPr="001E7202" w:rsidRDefault="00D70674" w:rsidP="00C76D14">
            <w:pPr>
              <w:rPr>
                <w:rFonts w:ascii="Arial" w:eastAsia="Times New Roman" w:hAnsi="Arial"/>
                <w:b/>
                <w:bCs/>
                <w:color w:val="1A1E24"/>
                <w:lang w:val="en-US"/>
              </w:rPr>
            </w:pPr>
            <w:r>
              <w:rPr>
                <w:rFonts w:ascii="Arial" w:eastAsia="Times New Roman" w:hAnsi="Arial"/>
                <w:b/>
                <w:bCs/>
                <w:color w:val="1A1E24"/>
              </w:rPr>
              <w:t>Visiteur Médical</w:t>
            </w:r>
            <w:r w:rsidR="00C76D14" w:rsidRPr="005C521A">
              <w:rPr>
                <w:rFonts w:ascii="Arial" w:eastAsia="Times New Roman" w:hAnsi="Arial"/>
                <w:b/>
                <w:bCs/>
                <w:color w:val="1A1E24"/>
                <w:lang w:val="en-US"/>
              </w:rPr>
              <w:t>, Pfizer West Africa</w:t>
            </w:r>
            <w:r w:rsidR="00C76D14">
              <w:rPr>
                <w:rFonts w:ascii="Arial" w:eastAsia="Times New Roman" w:hAnsi="Arial"/>
                <w:b/>
                <w:bCs/>
                <w:color w:val="1A1E24"/>
                <w:lang w:val="en-US"/>
              </w:rPr>
              <w:t xml:space="preserve"> </w:t>
            </w:r>
            <w:r w:rsidR="00C76D14" w:rsidRPr="002F6048">
              <w:rPr>
                <w:rFonts w:eastAsia="Times New Roman"/>
                <w:b/>
                <w:bCs/>
                <w:color w:val="404B5B"/>
                <w:lang w:val="en-US"/>
              </w:rPr>
              <w:t>Abidjan, Côte d’Ivoire</w:t>
            </w:r>
          </w:p>
        </w:tc>
      </w:tr>
      <w:tr w:rsidR="00C76D14" w:rsidRPr="00D70674" w14:paraId="06E04A7D" w14:textId="77777777" w:rsidTr="003963EE">
        <w:trPr>
          <w:trHeight w:val="316"/>
        </w:trPr>
        <w:tc>
          <w:tcPr>
            <w:tcW w:w="1838" w:type="dxa"/>
          </w:tcPr>
          <w:p w14:paraId="3F5A9BF1" w14:textId="77777777" w:rsidR="00C76D14" w:rsidRPr="009274A4" w:rsidRDefault="00C76D14" w:rsidP="00C76D14">
            <w:pPr>
              <w:shd w:val="clear" w:color="auto" w:fill="FFFFFF"/>
              <w:rPr>
                <w:rFonts w:eastAsia="Times New Roman"/>
                <w:color w:val="404B5B"/>
                <w:sz w:val="20"/>
                <w:szCs w:val="20"/>
                <w:lang w:val="en-US"/>
              </w:rPr>
            </w:pPr>
          </w:p>
        </w:tc>
        <w:tc>
          <w:tcPr>
            <w:tcW w:w="9026" w:type="dxa"/>
          </w:tcPr>
          <w:p w14:paraId="121D3E00" w14:textId="5491ED3F" w:rsidR="00C76D14" w:rsidRPr="00D70674" w:rsidRDefault="00D70674" w:rsidP="00C76D14">
            <w:pPr>
              <w:pStyle w:val="Paragraphedeliste"/>
              <w:numPr>
                <w:ilvl w:val="0"/>
                <w:numId w:val="6"/>
              </w:numPr>
            </w:pPr>
            <w:r w:rsidRPr="005C521A">
              <w:t>Promotion des produits de l'entreprise à Abidjan et dans les régions du nord du pays</w:t>
            </w:r>
          </w:p>
        </w:tc>
      </w:tr>
      <w:tr w:rsidR="00C76D14" w14:paraId="31624A10" w14:textId="77777777" w:rsidTr="003963EE">
        <w:trPr>
          <w:trHeight w:val="316"/>
        </w:trPr>
        <w:tc>
          <w:tcPr>
            <w:tcW w:w="1838" w:type="dxa"/>
          </w:tcPr>
          <w:p w14:paraId="659651A2" w14:textId="1B5B94D1" w:rsidR="00C76D14" w:rsidRPr="009274A4" w:rsidRDefault="00C76D14" w:rsidP="00C76D14">
            <w:pPr>
              <w:rPr>
                <w:b/>
                <w:bCs/>
                <w:color w:val="215E99" w:themeColor="text2" w:themeTint="BF"/>
                <w:sz w:val="20"/>
                <w:szCs w:val="20"/>
                <w:lang w:val="en-US"/>
              </w:rPr>
            </w:pPr>
            <w:r w:rsidRPr="00D70674">
              <w:rPr>
                <w:b/>
                <w:bCs/>
                <w:sz w:val="20"/>
                <w:szCs w:val="20"/>
              </w:rPr>
              <w:t xml:space="preserve"> </w:t>
            </w:r>
            <w:r w:rsidRPr="009274A4">
              <w:rPr>
                <w:b/>
                <w:bCs/>
                <w:color w:val="215E99" w:themeColor="text2" w:themeTint="BF"/>
                <w:sz w:val="20"/>
                <w:szCs w:val="20"/>
                <w:lang w:val="en-US"/>
              </w:rPr>
              <w:t>EDUCATION</w:t>
            </w:r>
          </w:p>
        </w:tc>
        <w:tc>
          <w:tcPr>
            <w:tcW w:w="9026" w:type="dxa"/>
          </w:tcPr>
          <w:p w14:paraId="29AEC903" w14:textId="77777777" w:rsidR="00C76D14" w:rsidRPr="002A5BC7" w:rsidRDefault="00C76D14" w:rsidP="00C76D14">
            <w:pPr>
              <w:jc w:val="both"/>
              <w:rPr>
                <w:rFonts w:ascii="Arial" w:eastAsia="Times New Roman" w:hAnsi="Arial"/>
                <w:color w:val="404B5B"/>
                <w:lang w:val="en-US"/>
              </w:rPr>
            </w:pPr>
          </w:p>
        </w:tc>
      </w:tr>
      <w:tr w:rsidR="00C76D14" w:rsidRPr="002A703F" w14:paraId="4D579E42" w14:textId="77777777" w:rsidTr="003963EE">
        <w:trPr>
          <w:trHeight w:val="333"/>
        </w:trPr>
        <w:tc>
          <w:tcPr>
            <w:tcW w:w="1838" w:type="dxa"/>
          </w:tcPr>
          <w:p w14:paraId="22C016B7" w14:textId="77777777" w:rsidR="00C76D14" w:rsidRPr="009274A4" w:rsidRDefault="00C76D14" w:rsidP="00C76D14">
            <w:pPr>
              <w:shd w:val="clear" w:color="auto" w:fill="FFFFFF"/>
              <w:rPr>
                <w:rFonts w:eastAsia="Times New Roman"/>
                <w:color w:val="404B5B"/>
                <w:sz w:val="20"/>
                <w:szCs w:val="20"/>
              </w:rPr>
            </w:pPr>
            <w:r w:rsidRPr="009274A4">
              <w:rPr>
                <w:rFonts w:eastAsia="Times New Roman"/>
                <w:color w:val="404B5B"/>
                <w:sz w:val="20"/>
                <w:szCs w:val="20"/>
              </w:rPr>
              <w:t>10/2003 – 09/2005</w:t>
            </w:r>
          </w:p>
          <w:p w14:paraId="3E342839" w14:textId="77777777" w:rsidR="00C76D14" w:rsidRPr="009274A4" w:rsidRDefault="00C76D14" w:rsidP="00C76D14">
            <w:pPr>
              <w:rPr>
                <w:b/>
                <w:bCs/>
                <w:sz w:val="20"/>
                <w:szCs w:val="20"/>
                <w:lang w:val="en-US"/>
              </w:rPr>
            </w:pPr>
          </w:p>
        </w:tc>
        <w:tc>
          <w:tcPr>
            <w:tcW w:w="9026" w:type="dxa"/>
          </w:tcPr>
          <w:p w14:paraId="71F7DFF5" w14:textId="6C420835" w:rsidR="00C76D14" w:rsidRPr="002A703F" w:rsidRDefault="00C76D14" w:rsidP="00C76D14">
            <w:pPr>
              <w:shd w:val="clear" w:color="auto" w:fill="FFFFFF"/>
              <w:rPr>
                <w:rFonts w:ascii="Arial" w:eastAsia="Times New Roman" w:hAnsi="Arial"/>
                <w:color w:val="1A1E24"/>
              </w:rPr>
            </w:pPr>
            <w:r w:rsidRPr="002A703F">
              <w:rPr>
                <w:rFonts w:ascii="Arial" w:eastAsia="Times New Roman" w:hAnsi="Arial"/>
                <w:b/>
                <w:bCs/>
                <w:color w:val="1A1E24"/>
              </w:rPr>
              <w:t>ECG Abidjan</w:t>
            </w:r>
            <w:r w:rsidRPr="002A703F">
              <w:rPr>
                <w:rFonts w:eastAsia="Times New Roman"/>
                <w:b/>
                <w:bCs/>
                <w:color w:val="404B5B"/>
              </w:rPr>
              <w:t>, Côte d’Ivoire</w:t>
            </w:r>
            <w:r w:rsidRPr="002A703F">
              <w:rPr>
                <w:rFonts w:ascii="Arial" w:eastAsia="Times New Roman" w:hAnsi="Arial"/>
                <w:color w:val="1A1E24"/>
              </w:rPr>
              <w:br/>
            </w:r>
            <w:r w:rsidR="002A703F" w:rsidRPr="0031525D">
              <w:rPr>
                <w:rFonts w:ascii="Arial" w:eastAsia="Times New Roman" w:hAnsi="Arial"/>
                <w:color w:val="1A1E24"/>
              </w:rPr>
              <w:t>Master en Administration et Gestion des Entreprises</w:t>
            </w:r>
          </w:p>
        </w:tc>
      </w:tr>
      <w:tr w:rsidR="00C76D14" w:rsidRPr="00100687" w14:paraId="483D7ABD" w14:textId="77777777" w:rsidTr="003963EE">
        <w:trPr>
          <w:trHeight w:val="333"/>
        </w:trPr>
        <w:tc>
          <w:tcPr>
            <w:tcW w:w="1838" w:type="dxa"/>
          </w:tcPr>
          <w:p w14:paraId="355F2551" w14:textId="77777777" w:rsidR="00C76D14" w:rsidRPr="009274A4" w:rsidRDefault="00C76D14" w:rsidP="00C76D14">
            <w:pPr>
              <w:shd w:val="clear" w:color="auto" w:fill="FFFFFF"/>
              <w:rPr>
                <w:rFonts w:eastAsia="Times New Roman"/>
                <w:color w:val="404B5B"/>
                <w:sz w:val="20"/>
                <w:szCs w:val="20"/>
              </w:rPr>
            </w:pPr>
            <w:r w:rsidRPr="009274A4">
              <w:rPr>
                <w:rFonts w:eastAsia="Times New Roman"/>
                <w:color w:val="404B5B"/>
                <w:sz w:val="20"/>
                <w:szCs w:val="20"/>
              </w:rPr>
              <w:t>10/1996 – 09/1998</w:t>
            </w:r>
          </w:p>
          <w:p w14:paraId="1E275803" w14:textId="77777777" w:rsidR="00C76D14" w:rsidRPr="009274A4" w:rsidRDefault="00C76D14" w:rsidP="00C76D14">
            <w:pPr>
              <w:shd w:val="clear" w:color="auto" w:fill="FFFFFF"/>
              <w:rPr>
                <w:rFonts w:eastAsia="Times New Roman"/>
                <w:color w:val="404B5B"/>
                <w:sz w:val="20"/>
                <w:szCs w:val="20"/>
                <w:lang w:val="en-US"/>
              </w:rPr>
            </w:pPr>
          </w:p>
        </w:tc>
        <w:tc>
          <w:tcPr>
            <w:tcW w:w="9026" w:type="dxa"/>
          </w:tcPr>
          <w:p w14:paraId="66683EC8" w14:textId="0F19FB61" w:rsidR="00C76D14" w:rsidRPr="002A703F" w:rsidRDefault="00C76D14" w:rsidP="00C76D14">
            <w:pPr>
              <w:shd w:val="clear" w:color="auto" w:fill="FFFFFF"/>
              <w:rPr>
                <w:rFonts w:ascii="Arial" w:eastAsia="Times New Roman" w:hAnsi="Arial"/>
                <w:color w:val="1A1E24"/>
              </w:rPr>
            </w:pPr>
            <w:r w:rsidRPr="002A703F">
              <w:rPr>
                <w:rFonts w:ascii="Arial" w:eastAsia="Times New Roman" w:hAnsi="Arial"/>
                <w:b/>
                <w:bCs/>
                <w:color w:val="1A1E24"/>
              </w:rPr>
              <w:t>Agitel Formation</w:t>
            </w:r>
            <w:r w:rsidRPr="002A703F">
              <w:rPr>
                <w:rFonts w:ascii="Arial" w:eastAsia="Times New Roman" w:hAnsi="Arial"/>
                <w:color w:val="1A1E24"/>
              </w:rPr>
              <w:t xml:space="preserve"> </w:t>
            </w:r>
            <w:r w:rsidRPr="002A703F">
              <w:rPr>
                <w:rFonts w:eastAsia="Times New Roman"/>
                <w:b/>
                <w:bCs/>
                <w:color w:val="404B5B"/>
              </w:rPr>
              <w:t>Abidjan, Côte d’Ivoire</w:t>
            </w:r>
            <w:r w:rsidRPr="002A703F">
              <w:rPr>
                <w:rFonts w:ascii="Arial" w:eastAsia="Times New Roman" w:hAnsi="Arial"/>
                <w:color w:val="1A1E24"/>
              </w:rPr>
              <w:br/>
            </w:r>
            <w:r w:rsidR="002A703F" w:rsidRPr="0031525D">
              <w:rPr>
                <w:rFonts w:ascii="Arial" w:eastAsia="Times New Roman" w:hAnsi="Arial"/>
                <w:color w:val="1A1E24"/>
              </w:rPr>
              <w:t xml:space="preserve">Diplôme </w:t>
            </w:r>
            <w:r w:rsidR="002A703F">
              <w:rPr>
                <w:rFonts w:ascii="Arial" w:eastAsia="Times New Roman" w:hAnsi="Arial"/>
                <w:color w:val="1A1E24"/>
              </w:rPr>
              <w:t xml:space="preserve">d’Etudes </w:t>
            </w:r>
            <w:r w:rsidR="002A703F" w:rsidRPr="0031525D">
              <w:rPr>
                <w:rFonts w:ascii="Arial" w:eastAsia="Times New Roman" w:hAnsi="Arial"/>
                <w:color w:val="1A1E24"/>
              </w:rPr>
              <w:t>Supérieur</w:t>
            </w:r>
            <w:r w:rsidR="002A703F">
              <w:rPr>
                <w:rFonts w:ascii="Arial" w:eastAsia="Times New Roman" w:hAnsi="Arial"/>
                <w:color w:val="1A1E24"/>
              </w:rPr>
              <w:t xml:space="preserve">es en Management </w:t>
            </w:r>
            <w:r w:rsidR="002A703F" w:rsidRPr="0031525D">
              <w:rPr>
                <w:rFonts w:ascii="Arial" w:eastAsia="Times New Roman" w:hAnsi="Arial"/>
                <w:color w:val="1A1E24"/>
              </w:rPr>
              <w:t>Marketing</w:t>
            </w:r>
          </w:p>
        </w:tc>
      </w:tr>
      <w:tr w:rsidR="00C76D14" w:rsidRPr="00792251" w14:paraId="558ADEC1" w14:textId="77777777" w:rsidTr="003963EE">
        <w:trPr>
          <w:trHeight w:val="316"/>
        </w:trPr>
        <w:tc>
          <w:tcPr>
            <w:tcW w:w="1838" w:type="dxa"/>
          </w:tcPr>
          <w:p w14:paraId="799A76B4" w14:textId="77777777" w:rsidR="00C76D14" w:rsidRPr="005934DE" w:rsidRDefault="00C76D14" w:rsidP="00C76D14">
            <w:pPr>
              <w:shd w:val="clear" w:color="auto" w:fill="FFFFFF"/>
              <w:rPr>
                <w:rFonts w:ascii="Arial" w:eastAsia="Times New Roman" w:hAnsi="Arial"/>
                <w:color w:val="404B5B"/>
                <w:sz w:val="18"/>
                <w:szCs w:val="18"/>
                <w:lang w:val="en-US"/>
              </w:rPr>
            </w:pPr>
            <w:r w:rsidRPr="005934DE">
              <w:rPr>
                <w:rFonts w:ascii="Arial" w:eastAsia="Times New Roman" w:hAnsi="Arial"/>
                <w:color w:val="404B5B"/>
                <w:sz w:val="18"/>
                <w:szCs w:val="18"/>
                <w:lang w:val="en-US"/>
              </w:rPr>
              <w:t>10/1986 – 04/1995</w:t>
            </w:r>
          </w:p>
          <w:p w14:paraId="35C8D39F" w14:textId="77777777" w:rsidR="00C76D14" w:rsidRPr="009274A4" w:rsidRDefault="00C76D14" w:rsidP="00C76D14">
            <w:pPr>
              <w:shd w:val="clear" w:color="auto" w:fill="FFFFFF"/>
              <w:rPr>
                <w:rFonts w:eastAsia="Times New Roman"/>
                <w:color w:val="404B5B"/>
                <w:sz w:val="20"/>
                <w:szCs w:val="20"/>
                <w:lang w:val="en-US"/>
              </w:rPr>
            </w:pPr>
          </w:p>
        </w:tc>
        <w:tc>
          <w:tcPr>
            <w:tcW w:w="9026" w:type="dxa"/>
          </w:tcPr>
          <w:p w14:paraId="2F19A646" w14:textId="77777777" w:rsidR="00C76D14" w:rsidRDefault="00C76D14" w:rsidP="00C76D14">
            <w:pPr>
              <w:shd w:val="clear" w:color="auto" w:fill="FFFFFF"/>
              <w:rPr>
                <w:rFonts w:ascii="Arial" w:eastAsia="Times New Roman" w:hAnsi="Arial"/>
                <w:color w:val="1A1E24"/>
                <w:lang w:val="en-US"/>
              </w:rPr>
            </w:pPr>
            <w:r w:rsidRPr="001E7202">
              <w:rPr>
                <w:rFonts w:ascii="Arial" w:eastAsia="Times New Roman" w:hAnsi="Arial"/>
                <w:b/>
                <w:bCs/>
                <w:color w:val="1A1E24"/>
                <w:lang w:val="en-US"/>
              </w:rPr>
              <w:t xml:space="preserve">University of FHB </w:t>
            </w:r>
            <w:r w:rsidRPr="002F6048">
              <w:rPr>
                <w:rFonts w:eastAsia="Times New Roman"/>
                <w:b/>
                <w:bCs/>
                <w:color w:val="404B5B"/>
                <w:lang w:val="en-US"/>
              </w:rPr>
              <w:t>Abidjan, Côte d’Ivoire</w:t>
            </w:r>
            <w:r w:rsidRPr="0031525D">
              <w:rPr>
                <w:rFonts w:ascii="Arial" w:eastAsia="Times New Roman" w:hAnsi="Arial"/>
                <w:color w:val="1A1E24"/>
                <w:lang w:val="en-US"/>
              </w:rPr>
              <w:br/>
            </w:r>
            <w:proofErr w:type="spellStart"/>
            <w:r w:rsidR="002A703F">
              <w:rPr>
                <w:rFonts w:ascii="Arial" w:eastAsia="Times New Roman" w:hAnsi="Arial"/>
                <w:color w:val="1A1E24"/>
                <w:lang w:val="en-US"/>
              </w:rPr>
              <w:t>Doctorat</w:t>
            </w:r>
            <w:proofErr w:type="spellEnd"/>
            <w:r w:rsidR="002A703F">
              <w:rPr>
                <w:rFonts w:ascii="Arial" w:eastAsia="Times New Roman" w:hAnsi="Arial"/>
                <w:color w:val="1A1E24"/>
                <w:lang w:val="en-US"/>
              </w:rPr>
              <w:t xml:space="preserve"> en </w:t>
            </w:r>
            <w:r w:rsidRPr="0031525D">
              <w:rPr>
                <w:rFonts w:ascii="Arial" w:eastAsia="Times New Roman" w:hAnsi="Arial"/>
                <w:color w:val="1A1E24"/>
                <w:lang w:val="en-US"/>
              </w:rPr>
              <w:t>Medicine</w:t>
            </w:r>
          </w:p>
          <w:p w14:paraId="746B5AE4" w14:textId="48BFB69A" w:rsidR="009E5103" w:rsidRPr="001E7202" w:rsidRDefault="009E5103" w:rsidP="00C76D14">
            <w:pPr>
              <w:shd w:val="clear" w:color="auto" w:fill="FFFFFF"/>
              <w:rPr>
                <w:rFonts w:ascii="Arial" w:eastAsia="Times New Roman" w:hAnsi="Arial"/>
                <w:color w:val="1A1E24"/>
                <w:lang w:val="en-US"/>
              </w:rPr>
            </w:pPr>
          </w:p>
        </w:tc>
      </w:tr>
      <w:tr w:rsidR="00C76D14" w:rsidRPr="00FC4545" w14:paraId="5B2106DE" w14:textId="77777777" w:rsidTr="003963EE">
        <w:trPr>
          <w:trHeight w:val="316"/>
        </w:trPr>
        <w:tc>
          <w:tcPr>
            <w:tcW w:w="1838" w:type="dxa"/>
          </w:tcPr>
          <w:p w14:paraId="08E782DF" w14:textId="77777777" w:rsidR="005934DE" w:rsidRDefault="005934DE" w:rsidP="00C76D14">
            <w:pPr>
              <w:shd w:val="clear" w:color="auto" w:fill="FFFFFF"/>
              <w:rPr>
                <w:rFonts w:eastAsia="Times New Roman"/>
                <w:b/>
                <w:bCs/>
                <w:color w:val="215E99" w:themeColor="text2" w:themeTint="BF"/>
                <w:sz w:val="20"/>
                <w:szCs w:val="20"/>
                <w:lang w:val="en-US"/>
              </w:rPr>
            </w:pPr>
          </w:p>
          <w:p w14:paraId="4B906AC1" w14:textId="23D3A180" w:rsidR="00C76D14" w:rsidRPr="009274A4" w:rsidRDefault="000E6006" w:rsidP="00C76D14">
            <w:pPr>
              <w:shd w:val="clear" w:color="auto" w:fill="FFFFFF"/>
              <w:rPr>
                <w:rFonts w:eastAsia="Times New Roman"/>
                <w:b/>
                <w:bCs/>
                <w:color w:val="404B5B"/>
                <w:sz w:val="20"/>
                <w:szCs w:val="20"/>
              </w:rPr>
            </w:pPr>
            <w:r w:rsidRPr="002407E5">
              <w:rPr>
                <w:rFonts w:eastAsia="Times New Roman"/>
                <w:b/>
                <w:bCs/>
                <w:color w:val="215E99" w:themeColor="text2" w:themeTint="BF"/>
                <w:sz w:val="20"/>
                <w:szCs w:val="20"/>
                <w:lang w:val="en-US"/>
              </w:rPr>
              <w:t>COMPETENCE</w:t>
            </w:r>
            <w:r w:rsidR="002407E5" w:rsidRPr="002407E5">
              <w:rPr>
                <w:rFonts w:eastAsia="Times New Roman"/>
                <w:b/>
                <w:bCs/>
                <w:color w:val="215E99" w:themeColor="text2" w:themeTint="BF"/>
                <w:sz w:val="20"/>
                <w:szCs w:val="20"/>
                <w:lang w:val="en-US"/>
              </w:rPr>
              <w:t>S</w:t>
            </w:r>
          </w:p>
        </w:tc>
        <w:tc>
          <w:tcPr>
            <w:tcW w:w="9026" w:type="dxa"/>
          </w:tcPr>
          <w:p w14:paraId="38E2D2CB" w14:textId="77777777" w:rsidR="005934DE" w:rsidRDefault="005934DE" w:rsidP="005934DE">
            <w:pPr>
              <w:rPr>
                <w:color w:val="000000" w:themeColor="text1"/>
              </w:rPr>
            </w:pPr>
          </w:p>
          <w:p w14:paraId="42740CCC" w14:textId="3494508C" w:rsidR="005934DE" w:rsidRPr="005934DE" w:rsidRDefault="005934DE" w:rsidP="005934DE">
            <w:pPr>
              <w:rPr>
                <w:color w:val="000000" w:themeColor="text1"/>
              </w:rPr>
            </w:pPr>
            <w:r w:rsidRPr="009274A4">
              <w:rPr>
                <w:color w:val="000000" w:themeColor="text1"/>
              </w:rPr>
              <w:t xml:space="preserve">◦ Mobilisation des ressources ◦ Planification stratégique ◦ Gestion des partenariats         </w:t>
            </w:r>
          </w:p>
          <w:p w14:paraId="791BB909" w14:textId="77777777" w:rsidR="005934DE" w:rsidRPr="005934DE" w:rsidRDefault="005934DE" w:rsidP="005934DE">
            <w:pPr>
              <w:rPr>
                <w:color w:val="000000" w:themeColor="text1"/>
              </w:rPr>
            </w:pPr>
            <w:r w:rsidRPr="009274A4">
              <w:rPr>
                <w:color w:val="000000" w:themeColor="text1"/>
              </w:rPr>
              <w:t>◦ Négociation ◦ Gestion d'équipe ◦ Engagement des parties prenantes</w:t>
            </w:r>
          </w:p>
          <w:p w14:paraId="59ACF432" w14:textId="379680B0" w:rsidR="00C76D14" w:rsidRPr="005934DE" w:rsidRDefault="005934DE" w:rsidP="00C76D14">
            <w:r w:rsidRPr="009274A4">
              <w:rPr>
                <w:color w:val="000000" w:themeColor="text1"/>
              </w:rPr>
              <w:t>◦ Gestion de projet ◦ Renforcement des capacités ◦ Rédaction de propositions ◦ Communication ◦ Collecte de fonds</w:t>
            </w:r>
          </w:p>
        </w:tc>
      </w:tr>
      <w:tr w:rsidR="00C76D14" w14:paraId="01BF5D06" w14:textId="77777777" w:rsidTr="003963EE">
        <w:trPr>
          <w:trHeight w:val="316"/>
        </w:trPr>
        <w:tc>
          <w:tcPr>
            <w:tcW w:w="1838" w:type="dxa"/>
          </w:tcPr>
          <w:p w14:paraId="5C019CD3" w14:textId="77777777" w:rsidR="003963EE" w:rsidRPr="005934DE" w:rsidRDefault="003963EE" w:rsidP="00C76D14">
            <w:pPr>
              <w:shd w:val="clear" w:color="auto" w:fill="FFFFFF"/>
              <w:rPr>
                <w:rFonts w:eastAsia="Times New Roman"/>
                <w:b/>
                <w:bCs/>
                <w:color w:val="215E99" w:themeColor="text2" w:themeTint="BF"/>
                <w:sz w:val="20"/>
                <w:szCs w:val="20"/>
              </w:rPr>
            </w:pPr>
          </w:p>
          <w:p w14:paraId="1D115149" w14:textId="588406B1" w:rsidR="00C76D14" w:rsidRPr="009274A4" w:rsidRDefault="00C76D14" w:rsidP="00C76D14">
            <w:pPr>
              <w:shd w:val="clear" w:color="auto" w:fill="FFFFFF"/>
              <w:rPr>
                <w:rFonts w:eastAsia="Times New Roman"/>
                <w:b/>
                <w:bCs/>
                <w:color w:val="404B5B"/>
                <w:sz w:val="20"/>
                <w:szCs w:val="20"/>
                <w:lang w:val="en-US"/>
              </w:rPr>
            </w:pPr>
            <w:r w:rsidRPr="009274A4">
              <w:rPr>
                <w:rFonts w:eastAsia="Times New Roman"/>
                <w:b/>
                <w:bCs/>
                <w:color w:val="215E99" w:themeColor="text2" w:themeTint="BF"/>
                <w:sz w:val="20"/>
                <w:szCs w:val="20"/>
                <w:lang w:val="en-US"/>
              </w:rPr>
              <w:t>LANGUES</w:t>
            </w:r>
          </w:p>
        </w:tc>
        <w:tc>
          <w:tcPr>
            <w:tcW w:w="9026" w:type="dxa"/>
          </w:tcPr>
          <w:p w14:paraId="67C2CDB5" w14:textId="77777777" w:rsidR="003963EE" w:rsidRDefault="003963EE" w:rsidP="00C76D14">
            <w:pPr>
              <w:rPr>
                <w:lang w:val="en-US"/>
              </w:rPr>
            </w:pPr>
          </w:p>
          <w:p w14:paraId="3C6820CE" w14:textId="44EA3367" w:rsidR="00C76D14" w:rsidRPr="002A5BC7" w:rsidRDefault="00C76D14" w:rsidP="00C76D14">
            <w:pPr>
              <w:rPr>
                <w:lang w:val="en-US"/>
              </w:rPr>
            </w:pPr>
            <w:r w:rsidRPr="009274A4">
              <w:rPr>
                <w:lang w:val="en-US"/>
              </w:rPr>
              <w:t>◦</w:t>
            </w:r>
            <w:r>
              <w:rPr>
                <w:lang w:val="en-US"/>
              </w:rPr>
              <w:t xml:space="preserve"> </w:t>
            </w:r>
            <w:r w:rsidRPr="009C5DE7">
              <w:rPr>
                <w:lang w:val="en-US"/>
              </w:rPr>
              <w:t>Fr</w:t>
            </w:r>
            <w:r w:rsidR="000E6006">
              <w:rPr>
                <w:lang w:val="en-US"/>
              </w:rPr>
              <w:t>ançais</w:t>
            </w:r>
            <w:r>
              <w:rPr>
                <w:lang w:val="en-US"/>
              </w:rPr>
              <w:t xml:space="preserve"> </w:t>
            </w:r>
            <w:r w:rsidRPr="009C5DE7">
              <w:rPr>
                <w:lang w:val="en-US"/>
              </w:rPr>
              <w:t>(</w:t>
            </w:r>
            <w:proofErr w:type="gramStart"/>
            <w:r w:rsidR="002407E5">
              <w:rPr>
                <w:lang w:val="en-US"/>
              </w:rPr>
              <w:t>courant</w:t>
            </w:r>
            <w:r w:rsidR="002407E5" w:rsidRPr="009C5DE7">
              <w:rPr>
                <w:lang w:val="en-US"/>
              </w:rPr>
              <w:t>)</w:t>
            </w:r>
            <w:r w:rsidR="002407E5">
              <w:rPr>
                <w:lang w:val="en-US"/>
              </w:rPr>
              <w:t xml:space="preserve">  </w:t>
            </w:r>
            <w:r>
              <w:rPr>
                <w:lang w:val="en-US"/>
              </w:rPr>
              <w:t xml:space="preserve"> </w:t>
            </w:r>
            <w:proofErr w:type="gramEnd"/>
            <w:r>
              <w:rPr>
                <w:lang w:val="en-US"/>
              </w:rPr>
              <w:t xml:space="preserve">                        </w:t>
            </w:r>
            <w:r w:rsidRPr="009274A4">
              <w:rPr>
                <w:lang w:val="en-US"/>
              </w:rPr>
              <w:t>◦</w:t>
            </w:r>
            <w:r>
              <w:rPr>
                <w:lang w:val="en-US"/>
              </w:rPr>
              <w:t xml:space="preserve">    </w:t>
            </w:r>
            <w:r w:rsidRPr="009C5DE7">
              <w:rPr>
                <w:lang w:val="en-US"/>
              </w:rPr>
              <w:t>English</w:t>
            </w:r>
            <w:r>
              <w:rPr>
                <w:lang w:val="en-US"/>
              </w:rPr>
              <w:t xml:space="preserve"> </w:t>
            </w:r>
            <w:r w:rsidRPr="009C5DE7">
              <w:rPr>
                <w:lang w:val="en-US"/>
              </w:rPr>
              <w:t>(</w:t>
            </w:r>
            <w:proofErr w:type="spellStart"/>
            <w:r w:rsidRPr="009C5DE7">
              <w:rPr>
                <w:lang w:val="en-US"/>
              </w:rPr>
              <w:t>A</w:t>
            </w:r>
            <w:r w:rsidR="000E6006">
              <w:rPr>
                <w:lang w:val="en-US"/>
              </w:rPr>
              <w:t>vancé</w:t>
            </w:r>
            <w:proofErr w:type="spellEnd"/>
            <w:r w:rsidRPr="009C5DE7">
              <w:rPr>
                <w:lang w:val="en-US"/>
              </w:rPr>
              <w:t>)</w:t>
            </w:r>
          </w:p>
        </w:tc>
      </w:tr>
    </w:tbl>
    <w:p w14:paraId="3C303F6B" w14:textId="77777777" w:rsidR="00D91A13" w:rsidRPr="001C0B73" w:rsidRDefault="00D91A13" w:rsidP="007834C2">
      <w:pPr>
        <w:rPr>
          <w:lang w:val="en-US"/>
        </w:rPr>
      </w:pPr>
    </w:p>
    <w:sectPr w:rsidR="00D91A13" w:rsidRPr="001C0B73" w:rsidSect="002A5BC7">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EEB6" w14:textId="77777777" w:rsidR="002C3E44" w:rsidRDefault="002C3E44" w:rsidP="00BB218E">
      <w:pPr>
        <w:spacing w:after="0" w:line="240" w:lineRule="auto"/>
      </w:pPr>
      <w:r>
        <w:separator/>
      </w:r>
    </w:p>
  </w:endnote>
  <w:endnote w:type="continuationSeparator" w:id="0">
    <w:p w14:paraId="650AC8E2" w14:textId="77777777" w:rsidR="002C3E44" w:rsidRDefault="002C3E44" w:rsidP="00BB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055B" w14:textId="77777777" w:rsidR="002C3E44" w:rsidRDefault="002C3E44" w:rsidP="00BB218E">
      <w:pPr>
        <w:spacing w:after="0" w:line="240" w:lineRule="auto"/>
      </w:pPr>
      <w:r>
        <w:separator/>
      </w:r>
    </w:p>
  </w:footnote>
  <w:footnote w:type="continuationSeparator" w:id="0">
    <w:p w14:paraId="49AD0521" w14:textId="77777777" w:rsidR="002C3E44" w:rsidRDefault="002C3E44" w:rsidP="00BB2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9D9"/>
    <w:multiLevelType w:val="hybridMultilevel"/>
    <w:tmpl w:val="5E545596"/>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9C61450"/>
    <w:multiLevelType w:val="multilevel"/>
    <w:tmpl w:val="06320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910207"/>
    <w:multiLevelType w:val="multilevel"/>
    <w:tmpl w:val="CACEC3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F610F1"/>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9010318"/>
    <w:multiLevelType w:val="hybridMultilevel"/>
    <w:tmpl w:val="DA9AF8B0"/>
    <w:lvl w:ilvl="0" w:tplc="2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206C0DD2"/>
    <w:multiLevelType w:val="hybridMultilevel"/>
    <w:tmpl w:val="B27AA73C"/>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73A6E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A571AC"/>
    <w:multiLevelType w:val="multilevel"/>
    <w:tmpl w:val="309E7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953E94"/>
    <w:multiLevelType w:val="multilevel"/>
    <w:tmpl w:val="E40EB3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59238FE"/>
    <w:multiLevelType w:val="hybridMultilevel"/>
    <w:tmpl w:val="56766E3A"/>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7915A74"/>
    <w:multiLevelType w:val="hybridMultilevel"/>
    <w:tmpl w:val="39721A0A"/>
    <w:lvl w:ilvl="0" w:tplc="2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1" w15:restartNumberingAfterBreak="0">
    <w:nsid w:val="492D1A62"/>
    <w:multiLevelType w:val="multilevel"/>
    <w:tmpl w:val="BBE6E7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9685FA1"/>
    <w:multiLevelType w:val="hybridMultilevel"/>
    <w:tmpl w:val="C37295F8"/>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55851FB3"/>
    <w:multiLevelType w:val="hybridMultilevel"/>
    <w:tmpl w:val="4754CE3C"/>
    <w:lvl w:ilvl="0" w:tplc="2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4" w15:restartNumberingAfterBreak="0">
    <w:nsid w:val="59BA0A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9662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006408"/>
    <w:multiLevelType w:val="hybridMultilevel"/>
    <w:tmpl w:val="401E1CE4"/>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5E4E2289"/>
    <w:multiLevelType w:val="multilevel"/>
    <w:tmpl w:val="232E24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67278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676AAD"/>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728F24DB"/>
    <w:multiLevelType w:val="multilevel"/>
    <w:tmpl w:val="390839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1487002">
    <w:abstractNumId w:val="14"/>
  </w:num>
  <w:num w:numId="2" w16cid:durableId="628827014">
    <w:abstractNumId w:val="6"/>
  </w:num>
  <w:num w:numId="3" w16cid:durableId="192160323">
    <w:abstractNumId w:val="15"/>
  </w:num>
  <w:num w:numId="4" w16cid:durableId="1156456908">
    <w:abstractNumId w:val="18"/>
  </w:num>
  <w:num w:numId="5" w16cid:durableId="1206484072">
    <w:abstractNumId w:val="3"/>
  </w:num>
  <w:num w:numId="6" w16cid:durableId="1665552170">
    <w:abstractNumId w:val="10"/>
  </w:num>
  <w:num w:numId="7" w16cid:durableId="2046053093">
    <w:abstractNumId w:val="19"/>
  </w:num>
  <w:num w:numId="8" w16cid:durableId="891693704">
    <w:abstractNumId w:val="16"/>
  </w:num>
  <w:num w:numId="9" w16cid:durableId="744685812">
    <w:abstractNumId w:val="7"/>
  </w:num>
  <w:num w:numId="10" w16cid:durableId="1070007062">
    <w:abstractNumId w:val="0"/>
  </w:num>
  <w:num w:numId="11" w16cid:durableId="1832679041">
    <w:abstractNumId w:val="17"/>
  </w:num>
  <w:num w:numId="12" w16cid:durableId="2138913697">
    <w:abstractNumId w:val="12"/>
  </w:num>
  <w:num w:numId="13" w16cid:durableId="901671645">
    <w:abstractNumId w:val="11"/>
  </w:num>
  <w:num w:numId="14" w16cid:durableId="108089199">
    <w:abstractNumId w:val="4"/>
  </w:num>
  <w:num w:numId="15" w16cid:durableId="331418934">
    <w:abstractNumId w:val="2"/>
  </w:num>
  <w:num w:numId="16" w16cid:durableId="152456422">
    <w:abstractNumId w:val="13"/>
  </w:num>
  <w:num w:numId="17" w16cid:durableId="389693207">
    <w:abstractNumId w:val="8"/>
  </w:num>
  <w:num w:numId="18" w16cid:durableId="1486630965">
    <w:abstractNumId w:val="5"/>
  </w:num>
  <w:num w:numId="19" w16cid:durableId="749542919">
    <w:abstractNumId w:val="1"/>
  </w:num>
  <w:num w:numId="20" w16cid:durableId="1927032893">
    <w:abstractNumId w:val="9"/>
  </w:num>
  <w:num w:numId="21" w16cid:durableId="14157396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E9"/>
    <w:rsid w:val="000E6006"/>
    <w:rsid w:val="000E7F9C"/>
    <w:rsid w:val="00100687"/>
    <w:rsid w:val="00120801"/>
    <w:rsid w:val="00154B07"/>
    <w:rsid w:val="00181E57"/>
    <w:rsid w:val="001C0B73"/>
    <w:rsid w:val="001D5E2D"/>
    <w:rsid w:val="001E7202"/>
    <w:rsid w:val="00223C4F"/>
    <w:rsid w:val="002407E5"/>
    <w:rsid w:val="00242D1A"/>
    <w:rsid w:val="00253148"/>
    <w:rsid w:val="0028469A"/>
    <w:rsid w:val="002931F5"/>
    <w:rsid w:val="002A5BC7"/>
    <w:rsid w:val="002A703F"/>
    <w:rsid w:val="002C3E44"/>
    <w:rsid w:val="002F6048"/>
    <w:rsid w:val="00350B8C"/>
    <w:rsid w:val="00377BF9"/>
    <w:rsid w:val="003926E9"/>
    <w:rsid w:val="003963EE"/>
    <w:rsid w:val="003A0CA8"/>
    <w:rsid w:val="0043248C"/>
    <w:rsid w:val="00491AF4"/>
    <w:rsid w:val="004934C5"/>
    <w:rsid w:val="004E17AF"/>
    <w:rsid w:val="004E1951"/>
    <w:rsid w:val="00536E1B"/>
    <w:rsid w:val="0058589D"/>
    <w:rsid w:val="005934DE"/>
    <w:rsid w:val="005C521A"/>
    <w:rsid w:val="005D2279"/>
    <w:rsid w:val="005F27C7"/>
    <w:rsid w:val="006839E9"/>
    <w:rsid w:val="00766143"/>
    <w:rsid w:val="007834C2"/>
    <w:rsid w:val="00784FFB"/>
    <w:rsid w:val="0078653B"/>
    <w:rsid w:val="00792251"/>
    <w:rsid w:val="007D7703"/>
    <w:rsid w:val="00832F6E"/>
    <w:rsid w:val="00877091"/>
    <w:rsid w:val="008C16E4"/>
    <w:rsid w:val="008E58A1"/>
    <w:rsid w:val="00917108"/>
    <w:rsid w:val="009274A4"/>
    <w:rsid w:val="00954092"/>
    <w:rsid w:val="009964FD"/>
    <w:rsid w:val="009C5DE7"/>
    <w:rsid w:val="009E5103"/>
    <w:rsid w:val="00A218AB"/>
    <w:rsid w:val="00AB4D12"/>
    <w:rsid w:val="00B37FA9"/>
    <w:rsid w:val="00B92870"/>
    <w:rsid w:val="00BB218E"/>
    <w:rsid w:val="00BD238A"/>
    <w:rsid w:val="00BE2B73"/>
    <w:rsid w:val="00BE33F5"/>
    <w:rsid w:val="00C571F2"/>
    <w:rsid w:val="00C76D14"/>
    <w:rsid w:val="00C77EA2"/>
    <w:rsid w:val="00D63852"/>
    <w:rsid w:val="00D70674"/>
    <w:rsid w:val="00D91A13"/>
    <w:rsid w:val="00E0069C"/>
    <w:rsid w:val="00E80FEB"/>
    <w:rsid w:val="00EE54FB"/>
    <w:rsid w:val="00F171A1"/>
    <w:rsid w:val="00F477DE"/>
    <w:rsid w:val="00F96622"/>
    <w:rsid w:val="00FA78BB"/>
    <w:rsid w:val="00FC1775"/>
    <w:rsid w:val="00FC45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F682E"/>
  <w15:chartTrackingRefBased/>
  <w15:docId w15:val="{1FB16B2A-7E5F-4CF1-9DA7-AD8B1E27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B73"/>
    <w:pPr>
      <w:spacing w:line="259" w:lineRule="auto"/>
    </w:pPr>
    <w:rPr>
      <w:rFonts w:eastAsiaTheme="minorEastAsia"/>
      <w:sz w:val="22"/>
      <w:szCs w:val="22"/>
      <w:lang w:val="fr-FR" w:eastAsia="fr-FR"/>
    </w:rPr>
  </w:style>
  <w:style w:type="paragraph" w:styleId="Titre1">
    <w:name w:val="heading 1"/>
    <w:basedOn w:val="Normal"/>
    <w:next w:val="Normal"/>
    <w:link w:val="Titre1Car"/>
    <w:uiPriority w:val="9"/>
    <w:qFormat/>
    <w:rsid w:val="00683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83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39E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39E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39E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39E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39E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39E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39E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39E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39E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39E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39E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39E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39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39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39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39E9"/>
    <w:rPr>
      <w:rFonts w:eastAsiaTheme="majorEastAsia" w:cstheme="majorBidi"/>
      <w:color w:val="272727" w:themeColor="text1" w:themeTint="D8"/>
    </w:rPr>
  </w:style>
  <w:style w:type="paragraph" w:styleId="Titre">
    <w:name w:val="Title"/>
    <w:basedOn w:val="Normal"/>
    <w:next w:val="Normal"/>
    <w:link w:val="TitreCar"/>
    <w:uiPriority w:val="10"/>
    <w:qFormat/>
    <w:rsid w:val="00683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39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39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39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39E9"/>
    <w:pPr>
      <w:spacing w:before="160"/>
      <w:jc w:val="center"/>
    </w:pPr>
    <w:rPr>
      <w:i/>
      <w:iCs/>
      <w:color w:val="404040" w:themeColor="text1" w:themeTint="BF"/>
    </w:rPr>
  </w:style>
  <w:style w:type="character" w:customStyle="1" w:styleId="CitationCar">
    <w:name w:val="Citation Car"/>
    <w:basedOn w:val="Policepardfaut"/>
    <w:link w:val="Citation"/>
    <w:uiPriority w:val="29"/>
    <w:rsid w:val="006839E9"/>
    <w:rPr>
      <w:i/>
      <w:iCs/>
      <w:color w:val="404040" w:themeColor="text1" w:themeTint="BF"/>
    </w:rPr>
  </w:style>
  <w:style w:type="paragraph" w:styleId="Paragraphedeliste">
    <w:name w:val="List Paragraph"/>
    <w:basedOn w:val="Normal"/>
    <w:uiPriority w:val="34"/>
    <w:qFormat/>
    <w:rsid w:val="006839E9"/>
    <w:pPr>
      <w:ind w:left="720"/>
      <w:contextualSpacing/>
    </w:pPr>
  </w:style>
  <w:style w:type="character" w:styleId="Accentuationintense">
    <w:name w:val="Intense Emphasis"/>
    <w:basedOn w:val="Policepardfaut"/>
    <w:uiPriority w:val="21"/>
    <w:qFormat/>
    <w:rsid w:val="006839E9"/>
    <w:rPr>
      <w:i/>
      <w:iCs/>
      <w:color w:val="0F4761" w:themeColor="accent1" w:themeShade="BF"/>
    </w:rPr>
  </w:style>
  <w:style w:type="paragraph" w:styleId="Citationintense">
    <w:name w:val="Intense Quote"/>
    <w:basedOn w:val="Normal"/>
    <w:next w:val="Normal"/>
    <w:link w:val="CitationintenseCar"/>
    <w:uiPriority w:val="30"/>
    <w:qFormat/>
    <w:rsid w:val="00683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39E9"/>
    <w:rPr>
      <w:i/>
      <w:iCs/>
      <w:color w:val="0F4761" w:themeColor="accent1" w:themeShade="BF"/>
    </w:rPr>
  </w:style>
  <w:style w:type="character" w:styleId="Rfrenceintense">
    <w:name w:val="Intense Reference"/>
    <w:basedOn w:val="Policepardfaut"/>
    <w:uiPriority w:val="32"/>
    <w:qFormat/>
    <w:rsid w:val="006839E9"/>
    <w:rPr>
      <w:b/>
      <w:bCs/>
      <w:smallCaps/>
      <w:color w:val="0F4761" w:themeColor="accent1" w:themeShade="BF"/>
      <w:spacing w:val="5"/>
    </w:rPr>
  </w:style>
  <w:style w:type="paragraph" w:styleId="En-tte">
    <w:name w:val="header"/>
    <w:basedOn w:val="Normal"/>
    <w:link w:val="En-tteCar"/>
    <w:uiPriority w:val="99"/>
    <w:unhideWhenUsed/>
    <w:rsid w:val="00BB218E"/>
    <w:pPr>
      <w:tabs>
        <w:tab w:val="center" w:pos="4536"/>
        <w:tab w:val="right" w:pos="9072"/>
      </w:tabs>
      <w:spacing w:after="0" w:line="240" w:lineRule="auto"/>
    </w:pPr>
  </w:style>
  <w:style w:type="character" w:customStyle="1" w:styleId="En-tteCar">
    <w:name w:val="En-tête Car"/>
    <w:basedOn w:val="Policepardfaut"/>
    <w:link w:val="En-tte"/>
    <w:uiPriority w:val="99"/>
    <w:rsid w:val="00BB218E"/>
  </w:style>
  <w:style w:type="paragraph" w:styleId="Pieddepage">
    <w:name w:val="footer"/>
    <w:basedOn w:val="Normal"/>
    <w:link w:val="PieddepageCar"/>
    <w:uiPriority w:val="99"/>
    <w:unhideWhenUsed/>
    <w:rsid w:val="00BB21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218E"/>
  </w:style>
  <w:style w:type="table" w:styleId="Grilledutableau">
    <w:name w:val="Table Grid"/>
    <w:basedOn w:val="TableauNormal"/>
    <w:uiPriority w:val="39"/>
    <w:rsid w:val="001C0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7Couleur">
    <w:name w:val="Grid Table 7 Colorful"/>
    <w:basedOn w:val="TableauNormal"/>
    <w:uiPriority w:val="52"/>
    <w:rsid w:val="00BE33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983</Words>
  <Characters>5609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LIA</dc:creator>
  <cp:keywords/>
  <dc:description/>
  <cp:lastModifiedBy>Lucien LIA</cp:lastModifiedBy>
  <cp:revision>5</cp:revision>
  <dcterms:created xsi:type="dcterms:W3CDTF">2026-05-25T23:13:00Z</dcterms:created>
  <dcterms:modified xsi:type="dcterms:W3CDTF">2026-05-25T23:18:00Z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39cc515f-787a-4793-afbe-2012ba4c6cb8</vt:lpwstr>
  </property>
</Properties>
</file>