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left w:val="none"/>
          <w:bottom w:val="none"/>
          <w:right w:val="none"/>
          <w:insideH w:val="single" w:color="auto" w:sz="4"/>
          <w:insideV w:val="single" w:color="auto" w:sz="4"/>
        </w:tblBorders>
      </w:tblPr>
      <w:tblGrid>
        <w:gridCol w:w="9746"/>
      </w:tblGrid>
      <w:tr>
        <w:tc>
          <w:tcPr>
            <w:tcW w:type="dxa" w:w="9746"/>
            <w:tcBorders>
              <w:top w:val="none"/>
              <w:left w:val="none"/>
              <w:bottom w:val="none"/>
              <w:right w:val="none"/>
            </w:tcBorders>
            <w:shd w:fill="1B3A6B" w:val="clear"/>
            <w:tcMar>
              <w:top w:type="dxa" w:w="400"/>
              <w:left w:type="dxa" w:w="500"/>
              <w:bottom w:type="dxa" w:w="400"/>
              <w:right w:type="dxa" w:w="500"/>
            </w:tcMar>
          </w:tcPr>
          <w:p>
            <w:pPr>
              <w:spacing w:after="80" w:before="0"/>
              <w:jc w:val="center"/>
            </w:pPr>
            <w:r>
              <w:rPr>
                <w:rFonts w:ascii="Arial" w:cs="Arial" w:eastAsia="Arial" w:hAnsi="Arial"/>
                <w:b/>
                <w:bCs/>
                <w:color w:val="FFFFFF"/>
                <w:sz w:val="52"/>
                <w:szCs w:val="52"/>
              </w:rPr>
              <w:t xml:space="preserve">KHALED BRIRMI</w:t>
            </w:r>
          </w:p>
          <w:p>
            <w:pPr>
              <w:spacing w:after="100" w:before="0"/>
              <w:jc w:val="center"/>
            </w:pPr>
            <w:r>
              <w:rPr>
                <w:rFonts w:ascii="Arial" w:cs="Arial" w:eastAsia="Arial" w:hAnsi="Arial"/>
                <w:i/>
                <w:iCs/>
                <w:color w:val="A8C8E8"/>
                <w:sz w:val="26"/>
                <w:szCs w:val="26"/>
              </w:rPr>
              <w:t xml:space="preserve">Expert en Restructuration d'Entreprises &amp; Gouvernance PME</w:t>
            </w:r>
          </w:p>
          <w:p>
            <w:pPr>
              <w:spacing w:after="0" w:before="0"/>
              <w:jc w:val="center"/>
            </w:pPr>
            <w:r>
              <w:rPr>
                <w:rFonts w:ascii="Arial" w:cs="Arial" w:eastAsia="Arial" w:hAnsi="Arial"/>
                <w:color w:val="C8DDF0"/>
                <w:sz w:val="20"/>
                <w:szCs w:val="20"/>
              </w:rPr>
              <w:t xml:space="preserve">+216 98 70 57 53  |  khaledbrirmi2022@gmail.com  |  Tunisie</w:t>
            </w:r>
          </w:p>
        </w:tc>
      </w:tr>
    </w:tbl>
    <w:p>
      <w:pPr>
        <w:spacing w:after="0" w:before="0" w:line="200"/>
      </w:pPr>
      <w:r>
        <w:t xml:space="preserve"/>
      </w:r>
    </w:p>
    <w:p>
      <w:pPr>
        <w:pBdr>
          <w:bottom w:val="single" w:color="2E75B6" w:sz="8" w:space="4"/>
        </w:pBdr>
        <w:spacing w:after="80" w:before="240"/>
      </w:pPr>
      <w:r>
        <w:rPr>
          <w:rFonts w:ascii="Arial" w:cs="Arial" w:eastAsia="Arial" w:hAnsi="Arial"/>
          <w:b/>
          <w:bCs/>
          <w:color w:val="1B3A6B"/>
          <w:spacing w:val="40"/>
          <w:sz w:val="26"/>
          <w:szCs w:val="26"/>
        </w:rPr>
        <w:t xml:space="preserve">PROFIL PROFESSIONNEL</w:t>
      </w:r>
    </w:p>
    <w:p>
      <w:pPr>
        <w:spacing w:after="0" w:before="0" w:line="80"/>
      </w:pPr>
      <w:r>
        <w:t xml:space="preserve"/>
      </w:r>
    </w:p>
    <w:tbl>
      <w:tblPr>
        <w:tblW w:type="dxa" w:w="9746"/>
        <w:tblBorders>
          <w:top w:val="none"/>
          <w:left w:val="none"/>
          <w:bottom w:val="none"/>
          <w:right w:val="none"/>
          <w:insideH w:val="single" w:color="auto" w:sz="4"/>
          <w:insideV w:val="single" w:color="auto" w:sz="4"/>
        </w:tblBorders>
      </w:tblPr>
      <w:tblGrid>
        <w:gridCol w:w="9746"/>
      </w:tblGrid>
      <w:tr>
        <w:tc>
          <w:tcPr>
            <w:tcW w:type="dxa" w:w="9746"/>
            <w:tcBorders>
              <w:top w:val="single" w:color="2E75B6" w:sz="6"/>
              <w:left w:val="single" w:color="2E75B6" w:sz="6"/>
              <w:bottom w:val="single" w:color="2E75B6" w:sz="6"/>
              <w:right w:val="single" w:color="2E75B6" w:sz="6"/>
            </w:tcBorders>
            <w:shd w:fill="EBF2FA" w:val="clear"/>
            <w:tcMar>
              <w:top w:type="dxa" w:w="240"/>
              <w:left w:type="dxa" w:w="360"/>
              <w:bottom w:type="dxa" w:w="240"/>
              <w:right w:type="dxa" w:w="360"/>
            </w:tcMar>
          </w:tcPr>
          <w:p>
            <w:pPr>
              <w:spacing w:after="0" w:before="0"/>
            </w:pPr>
            <w:r>
              <w:rPr>
                <w:rFonts w:ascii="Arial" w:cs="Arial" w:eastAsia="Arial" w:hAnsi="Arial"/>
                <w:i/>
                <w:iCs/>
                <w:color w:val="1A1A1A"/>
                <w:sz w:val="20"/>
                <w:szCs w:val="20"/>
              </w:rPr>
              <w:t xml:space="preserve">Expert tunisien avec plus de 25 ans d'expérience à l'interface du droit des affaires, de la finance et du management opérationnel. Reconnu pour sa capacité à diagnostiquer, restructurer et redresser des organisations en difficulté, dans les secteurs public et privé. Expérience directe avec les tribunaux de commerce, les bailleurs institutionnels (BFPME) et les mécanismes légaux de sauvegarde des entreprises. Parfaitement bilingue français/arabe, opérationnel en anglais et espagnol.</w:t>
            </w:r>
          </w:p>
        </w:tc>
      </w:tr>
    </w:tbl>
    <w:p>
      <w:pPr>
        <w:spacing w:after="0" w:before="0" w:line="160"/>
      </w:pPr>
      <w:r>
        <w:t xml:space="preserve"/>
      </w:r>
    </w:p>
    <w:p>
      <w:pPr>
        <w:pBdr>
          <w:bottom w:val="single" w:color="2E75B6" w:sz="8" w:space="4"/>
        </w:pBdr>
        <w:spacing w:after="80" w:before="240"/>
      </w:pPr>
      <w:r>
        <w:rPr>
          <w:rFonts w:ascii="Arial" w:cs="Arial" w:eastAsia="Arial" w:hAnsi="Arial"/>
          <w:b/>
          <w:bCs/>
          <w:color w:val="1B3A6B"/>
          <w:spacing w:val="40"/>
          <w:sz w:val="26"/>
          <w:szCs w:val="26"/>
        </w:rPr>
        <w:t xml:space="preserve">COMPÉTENCES CLÉS</w:t>
      </w:r>
    </w:p>
    <w:p>
      <w:pPr>
        <w:spacing w:after="0" w:before="0" w:line="120"/>
      </w:pPr>
      <w:r>
        <w:t xml:space="preserve"/>
      </w:r>
    </w:p>
    <w:tbl>
      <w:tblPr>
        <w:tblW w:type="dxa" w:w="9746"/>
        <w:tblBorders>
          <w:top w:val="none"/>
          <w:left w:val="none"/>
          <w:bottom w:val="none"/>
          <w:right w:val="none"/>
          <w:insideH w:val="single" w:color="auto" w:sz="4"/>
          <w:insideV w:val="single" w:color="auto" w:sz="4"/>
        </w:tblBorders>
      </w:tblPr>
      <w:tblGrid>
        <w:gridCol w:w="2436"/>
        <w:gridCol w:w="2436"/>
        <w:gridCol w:w="2436"/>
        <w:gridCol w:w="2436"/>
      </w:tblGrid>
      <w:tr>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Restructuration d'entreprises</w:t>
            </w:r>
          </w:p>
        </w:tc>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Droit des affaires</w:t>
            </w:r>
          </w:p>
        </w:tc>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Gouvernance &amp; conformité</w:t>
            </w:r>
          </w:p>
        </w:tc>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Gestion de crise</w:t>
            </w:r>
          </w:p>
        </w:tc>
      </w:tr>
      <w:tr>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Financement PME</w:t>
            </w:r>
          </w:p>
        </w:tc>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Direction générale</w:t>
            </w:r>
          </w:p>
        </w:tc>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Conseil juridique</w:t>
            </w:r>
          </w:p>
        </w:tc>
        <w:tc>
          <w:tcPr>
            <w:tcBorders>
              <w:top w:val="single" w:color="2E75B6" w:sz="1"/>
              <w:left w:val="single" w:color="2E75B6" w:sz="1"/>
              <w:bottom w:val="single" w:color="2E75B6" w:sz="1"/>
              <w:right w:val="single" w:color="2E75B6" w:sz="1"/>
            </w:tcBorders>
            <w:shd w:fill="EBF2FA" w:val="clear"/>
            <w:tcMar>
              <w:top w:type="dxa" w:w="60"/>
              <w:left w:type="dxa" w:w="120"/>
              <w:bottom w:type="dxa" w:w="60"/>
              <w:right w:type="dxa" w:w="120"/>
            </w:tcMar>
            <w:vAlign w:val="center"/>
          </w:tcPr>
          <w:p>
            <w:pPr>
              <w:jc w:val="center"/>
            </w:pPr>
            <w:r>
              <w:rPr>
                <w:rFonts w:ascii="Arial" w:cs="Arial" w:eastAsia="Arial" w:hAnsi="Arial"/>
                <w:color w:val="1B3A6B"/>
                <w:sz w:val="18"/>
                <w:szCs w:val="18"/>
              </w:rPr>
              <w:t xml:space="preserve">Relations institutionnelles</w:t>
            </w:r>
          </w:p>
        </w:tc>
      </w:tr>
    </w:tbl>
    <w:p>
      <w:pPr>
        <w:spacing w:after="0" w:before="0" w:line="160"/>
      </w:pPr>
      <w:r>
        <w:t xml:space="preserve"/>
      </w:r>
    </w:p>
    <w:p>
      <w:pPr>
        <w:pBdr>
          <w:bottom w:val="single" w:color="2E75B6" w:sz="8" w:space="4"/>
        </w:pBdr>
        <w:spacing w:after="80" w:before="240"/>
      </w:pPr>
      <w:r>
        <w:rPr>
          <w:rFonts w:ascii="Arial" w:cs="Arial" w:eastAsia="Arial" w:hAnsi="Arial"/>
          <w:b/>
          <w:bCs/>
          <w:color w:val="1B3A6B"/>
          <w:spacing w:val="40"/>
          <w:sz w:val="26"/>
          <w:szCs w:val="26"/>
        </w:rPr>
        <w:t xml:space="preserve">EXPÉRIENCE PROFESSIONNELLE</w:t>
      </w:r>
    </w:p>
    <w:p>
      <w:pPr>
        <w:spacing w:after="40" w:before="160"/>
      </w:pPr>
      <w:r>
        <w:rPr>
          <w:rFonts w:ascii="Arial" w:cs="Arial" w:eastAsia="Arial" w:hAnsi="Arial"/>
          <w:b/>
          <w:bCs/>
          <w:color w:val="1B3A6B"/>
          <w:sz w:val="24"/>
          <w:szCs w:val="24"/>
        </w:rPr>
        <w:t xml:space="preserve">Directeur Général – Mission de Redressement</w:t>
      </w:r>
    </w:p>
    <w:p>
      <w:pPr>
        <w:tabs>
          <w:tab w:val="right" w:pos="9746"/>
        </w:tabs>
        <w:spacing w:after="60" w:before="0"/>
      </w:pPr>
      <w:r>
        <w:rPr>
          <w:rFonts w:ascii="Arial" w:cs="Arial" w:eastAsia="Arial" w:hAnsi="Arial"/>
          <w:b/>
          <w:bCs/>
          <w:color w:val="2E75B6"/>
          <w:sz w:val="22"/>
          <w:szCs w:val="22"/>
        </w:rPr>
        <w:t xml:space="preserve">Clinique de santé pluridisciplinaire (64 lits) — Secteur privé</w:t>
      </w:r>
      <w:r>
        <w:rPr>
          <w:rFonts w:ascii="Arial" w:cs="Arial" w:eastAsia="Arial" w:hAnsi="Arial"/>
          <w:i/>
          <w:iCs/>
          <w:color w:val="666666"/>
          <w:sz w:val="20"/>
          <w:szCs w:val="20"/>
        </w:rPr>
        <w:t xml:space="preserve">	Fév. 2024 – Fév. 2025</w:t>
      </w:r>
    </w:p>
    <w:p>
      <w:pPr>
        <w:spacing w:after="60" w:before="0"/>
      </w:pPr>
      <w:r>
        <w:rPr>
          <w:rFonts w:ascii="Arial" w:cs="Arial" w:eastAsia="Arial" w:hAnsi="Arial"/>
          <w:color w:val="666666"/>
          <w:sz w:val="20"/>
          <w:szCs w:val="20"/>
        </w:rPr>
        <w:t xml:space="preserve">📍 Tunisie</w:t>
      </w:r>
    </w:p>
    <w:p>
      <w:pPr>
        <w:pStyle w:val="ListParagraph"/>
        <w:numPr>
          <w:ilvl w:val="0"/>
          <w:numId w:val="2"/>
        </w:numPr>
        <w:spacing w:after="20" w:before="40"/>
      </w:pPr>
      <w:r>
        <w:rPr>
          <w:rFonts w:ascii="Arial" w:cs="Arial" w:eastAsia="Arial" w:hAnsi="Arial"/>
          <w:color w:val="1A1A1A"/>
          <w:sz w:val="20"/>
          <w:szCs w:val="20"/>
        </w:rPr>
        <w:t xml:space="preserve">Nommé DG en contexte de crise pour piloter la continuité d'activité d'une structure sous procédure judiciaire.</w:t>
      </w:r>
    </w:p>
    <w:p>
      <w:pPr>
        <w:pStyle w:val="ListParagraph"/>
        <w:numPr>
          <w:ilvl w:val="0"/>
          <w:numId w:val="2"/>
        </w:numPr>
        <w:spacing w:after="20" w:before="40"/>
      </w:pPr>
      <w:r>
        <w:rPr>
          <w:rFonts w:ascii="Arial" w:cs="Arial" w:eastAsia="Arial" w:hAnsi="Arial"/>
          <w:color w:val="1A1A1A"/>
          <w:sz w:val="20"/>
          <w:szCs w:val="20"/>
        </w:rPr>
        <w:t xml:space="preserve">Élaboration et soumission d'un plan de sauvegarde à l'administrateur judiciaire mandaté par le tribunal compétent.</w:t>
      </w:r>
    </w:p>
    <w:p>
      <w:pPr>
        <w:pStyle w:val="ListParagraph"/>
        <w:numPr>
          <w:ilvl w:val="0"/>
          <w:numId w:val="2"/>
        </w:numPr>
        <w:spacing w:after="20" w:before="40"/>
      </w:pPr>
      <w:r>
        <w:rPr>
          <w:rFonts w:ascii="Arial" w:cs="Arial" w:eastAsia="Arial" w:hAnsi="Arial"/>
          <w:color w:val="1A1A1A"/>
          <w:sz w:val="20"/>
          <w:szCs w:val="20"/>
        </w:rPr>
        <w:t xml:space="preserve">Redémarrage opérationnel de la clinique et consolidation de 44 postes d'emploi.</w:t>
      </w:r>
    </w:p>
    <w:p>
      <w:pPr>
        <w:pStyle w:val="ListParagraph"/>
        <w:numPr>
          <w:ilvl w:val="0"/>
          <w:numId w:val="2"/>
        </w:numPr>
        <w:spacing w:after="20" w:before="40"/>
      </w:pPr>
      <w:r>
        <w:rPr>
          <w:rFonts w:ascii="Arial" w:cs="Arial" w:eastAsia="Arial" w:hAnsi="Arial"/>
          <w:color w:val="1A1A1A"/>
          <w:sz w:val="20"/>
          <w:szCs w:val="20"/>
        </w:rPr>
        <w:t xml:space="preserve">Coordination avec les partenaires institutionnels, juridiques et médicaux tout au long de la procédure.</w:t>
      </w:r>
    </w:p>
    <w:p>
      <w:pPr>
        <w:spacing w:after="40" w:before="160"/>
      </w:pPr>
      <w:r>
        <w:rPr>
          <w:rFonts w:ascii="Arial" w:cs="Arial" w:eastAsia="Arial" w:hAnsi="Arial"/>
          <w:b/>
          <w:bCs/>
          <w:color w:val="1B3A6B"/>
          <w:sz w:val="24"/>
          <w:szCs w:val="24"/>
        </w:rPr>
        <w:t xml:space="preserve">Directeur Général – Restructuration &amp; Sauvegarde</w:t>
      </w:r>
    </w:p>
    <w:p>
      <w:pPr>
        <w:tabs>
          <w:tab w:val="right" w:pos="9746"/>
        </w:tabs>
        <w:spacing w:after="60" w:before="0"/>
      </w:pPr>
      <w:r>
        <w:rPr>
          <w:rFonts w:ascii="Arial" w:cs="Arial" w:eastAsia="Arial" w:hAnsi="Arial"/>
          <w:b/>
          <w:bCs/>
          <w:color w:val="2E75B6"/>
          <w:sz w:val="22"/>
          <w:szCs w:val="22"/>
        </w:rPr>
        <w:t xml:space="preserve">Clinique de santé pluridisciplinaire (120 lits) — Secteur privé</w:t>
      </w:r>
      <w:r>
        <w:rPr>
          <w:rFonts w:ascii="Arial" w:cs="Arial" w:eastAsia="Arial" w:hAnsi="Arial"/>
          <w:i/>
          <w:iCs/>
          <w:color w:val="666666"/>
          <w:sz w:val="20"/>
          <w:szCs w:val="20"/>
        </w:rPr>
        <w:t xml:space="preserve">	Sep. 2022 – Jan. 2024</w:t>
      </w:r>
    </w:p>
    <w:p>
      <w:pPr>
        <w:spacing w:after="60" w:before="0"/>
      </w:pPr>
      <w:r>
        <w:rPr>
          <w:rFonts w:ascii="Arial" w:cs="Arial" w:eastAsia="Arial" w:hAnsi="Arial"/>
          <w:color w:val="666666"/>
          <w:sz w:val="20"/>
          <w:szCs w:val="20"/>
        </w:rPr>
        <w:t xml:space="preserve">📍 Tunisie</w:t>
      </w:r>
    </w:p>
    <w:p>
      <w:pPr>
        <w:pStyle w:val="ListParagraph"/>
        <w:numPr>
          <w:ilvl w:val="0"/>
          <w:numId w:val="2"/>
        </w:numPr>
        <w:spacing w:after="20" w:before="40"/>
      </w:pPr>
      <w:r>
        <w:rPr>
          <w:rFonts w:ascii="Arial" w:cs="Arial" w:eastAsia="Arial" w:hAnsi="Arial"/>
          <w:color w:val="1A1A1A"/>
          <w:sz w:val="20"/>
          <w:szCs w:val="20"/>
        </w:rPr>
        <w:t xml:space="preserve">Mise en oeuvre d'un plan de restructuration financière et organisationnelle pour une structure en difficulté économique.</w:t>
      </w:r>
    </w:p>
    <w:p>
      <w:pPr>
        <w:pStyle w:val="ListParagraph"/>
        <w:numPr>
          <w:ilvl w:val="0"/>
          <w:numId w:val="2"/>
        </w:numPr>
        <w:spacing w:after="20" w:before="40"/>
      </w:pPr>
      <w:r>
        <w:rPr>
          <w:rFonts w:ascii="Arial" w:cs="Arial" w:eastAsia="Arial" w:hAnsi="Arial"/>
          <w:color w:val="1A1A1A"/>
          <w:sz w:val="20"/>
          <w:szCs w:val="20"/>
        </w:rPr>
        <w:t xml:space="preserve">Constitution et dépôt d'un dossier judiciaire dans le cadre de la loi sur les entreprises en difficultés (Loi 2016).</w:t>
      </w:r>
    </w:p>
    <w:p>
      <w:pPr>
        <w:pStyle w:val="ListParagraph"/>
        <w:numPr>
          <w:ilvl w:val="0"/>
          <w:numId w:val="2"/>
        </w:numPr>
        <w:spacing w:after="20" w:before="40"/>
      </w:pPr>
      <w:r>
        <w:rPr>
          <w:rFonts w:ascii="Arial" w:cs="Arial" w:eastAsia="Arial" w:hAnsi="Arial"/>
          <w:color w:val="1A1A1A"/>
          <w:sz w:val="20"/>
          <w:szCs w:val="20"/>
        </w:rPr>
        <w:t xml:space="preserve">Supervision des travaux avec l'administrateur judiciaire désigné par le tribunal.</w:t>
      </w:r>
    </w:p>
    <w:p>
      <w:pPr>
        <w:pStyle w:val="ListParagraph"/>
        <w:numPr>
          <w:ilvl w:val="0"/>
          <w:numId w:val="2"/>
        </w:numPr>
        <w:spacing w:after="20" w:before="40"/>
      </w:pPr>
      <w:r>
        <w:rPr>
          <w:rFonts w:ascii="Arial" w:cs="Arial" w:eastAsia="Arial" w:hAnsi="Arial"/>
          <w:color w:val="1A1A1A"/>
          <w:sz w:val="20"/>
          <w:szCs w:val="20"/>
        </w:rPr>
        <w:t xml:space="preserve">Maintien de 24 emplois dans un contexte de forte pression financière.</w:t>
      </w:r>
    </w:p>
    <w:p>
      <w:pPr>
        <w:spacing w:after="40" w:before="160"/>
      </w:pPr>
      <w:r>
        <w:rPr>
          <w:rFonts w:ascii="Arial" w:cs="Arial" w:eastAsia="Arial" w:hAnsi="Arial"/>
          <w:b/>
          <w:bCs/>
          <w:color w:val="1B3A6B"/>
          <w:sz w:val="24"/>
          <w:szCs w:val="24"/>
        </w:rPr>
        <w:t xml:space="preserve">Directeur Général</w:t>
      </w:r>
    </w:p>
    <w:p>
      <w:pPr>
        <w:tabs>
          <w:tab w:val="right" w:pos="9746"/>
        </w:tabs>
        <w:spacing w:after="60" w:before="0"/>
      </w:pPr>
      <w:r>
        <w:rPr>
          <w:rFonts w:ascii="Arial" w:cs="Arial" w:eastAsia="Arial" w:hAnsi="Arial"/>
          <w:b/>
          <w:bCs/>
          <w:color w:val="2E75B6"/>
          <w:sz w:val="22"/>
          <w:szCs w:val="22"/>
        </w:rPr>
        <w:t xml:space="preserve">Clinique de santé pluridisciplinaire (64 lits) — Secteur privé</w:t>
      </w:r>
      <w:r>
        <w:rPr>
          <w:rFonts w:ascii="Arial" w:cs="Arial" w:eastAsia="Arial" w:hAnsi="Arial"/>
          <w:i/>
          <w:iCs/>
          <w:color w:val="666666"/>
          <w:sz w:val="20"/>
          <w:szCs w:val="20"/>
        </w:rPr>
        <w:t xml:space="preserve">	Mars 2017 – Août 2022</w:t>
      </w:r>
    </w:p>
    <w:p>
      <w:pPr>
        <w:spacing w:after="60" w:before="0"/>
      </w:pPr>
      <w:r>
        <w:rPr>
          <w:rFonts w:ascii="Arial" w:cs="Arial" w:eastAsia="Arial" w:hAnsi="Arial"/>
          <w:color w:val="666666"/>
          <w:sz w:val="20"/>
          <w:szCs w:val="20"/>
        </w:rPr>
        <w:t xml:space="preserve">📍 Tunisie</w:t>
      </w:r>
    </w:p>
    <w:p>
      <w:pPr>
        <w:pStyle w:val="ListParagraph"/>
        <w:numPr>
          <w:ilvl w:val="0"/>
          <w:numId w:val="2"/>
        </w:numPr>
        <w:spacing w:after="20" w:before="40"/>
      </w:pPr>
      <w:r>
        <w:rPr>
          <w:rFonts w:ascii="Arial" w:cs="Arial" w:eastAsia="Arial" w:hAnsi="Arial"/>
          <w:color w:val="1A1A1A"/>
          <w:sz w:val="20"/>
          <w:szCs w:val="20"/>
        </w:rPr>
        <w:t xml:space="preserve">Direction stratégique et opérationnelle d'une PME de santé de 99 collaborateurs.</w:t>
      </w:r>
    </w:p>
    <w:p>
      <w:pPr>
        <w:pStyle w:val="ListParagraph"/>
        <w:numPr>
          <w:ilvl w:val="0"/>
          <w:numId w:val="2"/>
        </w:numPr>
        <w:spacing w:after="20" w:before="40"/>
      </w:pPr>
      <w:r>
        <w:rPr>
          <w:rFonts w:ascii="Arial" w:cs="Arial" w:eastAsia="Arial" w:hAnsi="Arial"/>
          <w:color w:val="1A1A1A"/>
          <w:sz w:val="20"/>
          <w:szCs w:val="20"/>
        </w:rPr>
        <w:t xml:space="preserve">Restructuration complète de l'organisation et redéfinition des profils de poste.</w:t>
      </w:r>
    </w:p>
    <w:p>
      <w:pPr>
        <w:pStyle w:val="ListParagraph"/>
        <w:numPr>
          <w:ilvl w:val="0"/>
          <w:numId w:val="2"/>
        </w:numPr>
        <w:spacing w:after="20" w:before="40"/>
      </w:pPr>
      <w:r>
        <w:rPr>
          <w:rFonts w:ascii="Arial" w:cs="Arial" w:eastAsia="Arial" w:hAnsi="Arial"/>
          <w:color w:val="1A1A1A"/>
          <w:sz w:val="20"/>
          <w:szCs w:val="20"/>
        </w:rPr>
        <w:t xml:space="preserve">Élaboration de manuels de procédures internes et mise en place d'une politique qualité.</w:t>
      </w:r>
    </w:p>
    <w:p>
      <w:pPr>
        <w:pStyle w:val="ListParagraph"/>
        <w:numPr>
          <w:ilvl w:val="0"/>
          <w:numId w:val="2"/>
        </w:numPr>
        <w:spacing w:after="20" w:before="40"/>
      </w:pPr>
      <w:r>
        <w:rPr>
          <w:rFonts w:ascii="Arial" w:cs="Arial" w:eastAsia="Arial" w:hAnsi="Arial"/>
          <w:color w:val="1A1A1A"/>
          <w:sz w:val="20"/>
          <w:szCs w:val="20"/>
        </w:rPr>
        <w:t xml:space="preserve">Différenciation concurrentielle réussie et préparation d'un plan d'extension (unité de radiothérapie).</w:t>
      </w:r>
    </w:p>
    <w:p>
      <w:pPr>
        <w:pStyle w:val="ListParagraph"/>
        <w:numPr>
          <w:ilvl w:val="0"/>
          <w:numId w:val="2"/>
        </w:numPr>
        <w:spacing w:after="20" w:before="40"/>
      </w:pPr>
      <w:r>
        <w:rPr>
          <w:rFonts w:ascii="Arial" w:cs="Arial" w:eastAsia="Arial" w:hAnsi="Arial"/>
          <w:color w:val="1A1A1A"/>
          <w:sz w:val="20"/>
          <w:szCs w:val="20"/>
        </w:rPr>
        <w:t xml:space="preserve">Consolidation de partenariats solides avec les praticiens et acteurs institutionnels.</w:t>
      </w:r>
    </w:p>
    <w:p>
      <w:pPr>
        <w:spacing w:after="40" w:before="160"/>
      </w:pPr>
      <w:r>
        <w:rPr>
          <w:rFonts w:ascii="Arial" w:cs="Arial" w:eastAsia="Arial" w:hAnsi="Arial"/>
          <w:b/>
          <w:bCs/>
          <w:color w:val="1B3A6B"/>
          <w:sz w:val="24"/>
          <w:szCs w:val="24"/>
        </w:rPr>
        <w:t xml:space="preserve">Sous-Directeur – Suivi de l'Exploitation &amp; Restructuration</w:t>
      </w:r>
    </w:p>
    <w:p>
      <w:pPr>
        <w:tabs>
          <w:tab w:val="right" w:pos="9746"/>
        </w:tabs>
        <w:spacing w:after="60" w:before="0"/>
      </w:pPr>
      <w:r>
        <w:rPr>
          <w:rFonts w:ascii="Arial" w:cs="Arial" w:eastAsia="Arial" w:hAnsi="Arial"/>
          <w:b/>
          <w:bCs/>
          <w:color w:val="2E75B6"/>
          <w:sz w:val="22"/>
          <w:szCs w:val="22"/>
        </w:rPr>
        <w:t xml:space="preserve">BFPME – Banque de Financement des Petites et Moyennes Entreprises</w:t>
      </w:r>
      <w:r>
        <w:rPr>
          <w:rFonts w:ascii="Arial" w:cs="Arial" w:eastAsia="Arial" w:hAnsi="Arial"/>
          <w:i/>
          <w:iCs/>
          <w:color w:val="666666"/>
          <w:sz w:val="20"/>
          <w:szCs w:val="20"/>
        </w:rPr>
        <w:t xml:space="preserve">	Déc. 2009 – Mars 2017</w:t>
      </w:r>
    </w:p>
    <w:p>
      <w:pPr>
        <w:spacing w:after="60" w:before="0"/>
      </w:pPr>
      <w:r>
        <w:rPr>
          <w:rFonts w:ascii="Arial" w:cs="Arial" w:eastAsia="Arial" w:hAnsi="Arial"/>
          <w:color w:val="666666"/>
          <w:sz w:val="20"/>
          <w:szCs w:val="20"/>
        </w:rPr>
        <w:t xml:space="preserve">📍 Tunisie</w:t>
      </w:r>
    </w:p>
    <w:p>
      <w:pPr>
        <w:pStyle w:val="ListParagraph"/>
        <w:numPr>
          <w:ilvl w:val="0"/>
          <w:numId w:val="2"/>
        </w:numPr>
        <w:spacing w:after="20" w:before="40"/>
      </w:pPr>
      <w:r>
        <w:rPr>
          <w:rFonts w:ascii="Arial" w:cs="Arial" w:eastAsia="Arial" w:hAnsi="Arial"/>
          <w:color w:val="1A1A1A"/>
          <w:sz w:val="20"/>
          <w:szCs w:val="20"/>
        </w:rPr>
        <w:t xml:space="preserve">Conseil juridique aux PME sur les régimes d'investissement, la réglementation et les actes d'entreprise.</w:t>
      </w:r>
    </w:p>
    <w:p>
      <w:pPr>
        <w:pStyle w:val="ListParagraph"/>
        <w:numPr>
          <w:ilvl w:val="0"/>
          <w:numId w:val="2"/>
        </w:numPr>
        <w:spacing w:after="20" w:before="40"/>
      </w:pPr>
      <w:r>
        <w:rPr>
          <w:rFonts w:ascii="Arial" w:cs="Arial" w:eastAsia="Arial" w:hAnsi="Arial"/>
          <w:color w:val="1A1A1A"/>
          <w:sz w:val="20"/>
          <w:szCs w:val="20"/>
        </w:rPr>
        <w:t xml:space="preserve">Analyse et avis sur les projets de lois et décrets liés à l'investissement privé pour la Direction Générale.</w:t>
      </w:r>
    </w:p>
    <w:p>
      <w:pPr>
        <w:pStyle w:val="ListParagraph"/>
        <w:numPr>
          <w:ilvl w:val="0"/>
          <w:numId w:val="2"/>
        </w:numPr>
        <w:spacing w:after="20" w:before="40"/>
      </w:pPr>
      <w:r>
        <w:rPr>
          <w:rFonts w:ascii="Arial" w:cs="Arial" w:eastAsia="Arial" w:hAnsi="Arial"/>
          <w:color w:val="1A1A1A"/>
          <w:sz w:val="20"/>
          <w:szCs w:val="20"/>
        </w:rPr>
        <w:t xml:space="preserve">Suivi des entreprises inscrites au programme national de mise à niveau (MAN) et au plan national qualité (PNQ).</w:t>
      </w:r>
    </w:p>
    <w:p>
      <w:pPr>
        <w:pStyle w:val="ListParagraph"/>
        <w:numPr>
          <w:ilvl w:val="0"/>
          <w:numId w:val="2"/>
        </w:numPr>
        <w:spacing w:after="20" w:before="40"/>
      </w:pPr>
      <w:r>
        <w:rPr>
          <w:rFonts w:ascii="Arial" w:cs="Arial" w:eastAsia="Arial" w:hAnsi="Arial"/>
          <w:color w:val="1A1A1A"/>
          <w:sz w:val="20"/>
          <w:szCs w:val="20"/>
        </w:rPr>
        <w:t xml:space="preserve">Accompagnement des entreprises en difficulté dans leurs procédures de restructuration financière.</w:t>
      </w:r>
    </w:p>
    <w:p>
      <w:pPr>
        <w:spacing w:after="40" w:before="160"/>
      </w:pPr>
      <w:r>
        <w:rPr>
          <w:rFonts w:ascii="Arial" w:cs="Arial" w:eastAsia="Arial" w:hAnsi="Arial"/>
          <w:b/>
          <w:bCs/>
          <w:color w:val="1B3A6B"/>
          <w:sz w:val="24"/>
          <w:szCs w:val="24"/>
        </w:rPr>
        <w:t xml:space="preserve">Chef de Service – Diagnostic &amp; Suivi des Plans de Redressement</w:t>
      </w:r>
    </w:p>
    <w:p>
      <w:pPr>
        <w:tabs>
          <w:tab w:val="right" w:pos="9746"/>
        </w:tabs>
        <w:spacing w:after="60" w:before="0"/>
      </w:pPr>
      <w:r>
        <w:rPr>
          <w:rFonts w:ascii="Arial" w:cs="Arial" w:eastAsia="Arial" w:hAnsi="Arial"/>
          <w:b/>
          <w:bCs/>
          <w:color w:val="2E75B6"/>
          <w:sz w:val="22"/>
          <w:szCs w:val="22"/>
        </w:rPr>
        <w:t xml:space="preserve">Ministère de l'Industrie, de l'Énergie et des PME – DGPPME</w:t>
      </w:r>
      <w:r>
        <w:rPr>
          <w:rFonts w:ascii="Arial" w:cs="Arial" w:eastAsia="Arial" w:hAnsi="Arial"/>
          <w:i/>
          <w:iCs/>
          <w:color w:val="666666"/>
          <w:sz w:val="20"/>
          <w:szCs w:val="20"/>
        </w:rPr>
        <w:t xml:space="preserve">	Août 2000 – Oct. 2008</w:t>
      </w:r>
    </w:p>
    <w:p>
      <w:pPr>
        <w:spacing w:after="60" w:before="0"/>
      </w:pPr>
      <w:r>
        <w:rPr>
          <w:rFonts w:ascii="Arial" w:cs="Arial" w:eastAsia="Arial" w:hAnsi="Arial"/>
          <w:color w:val="666666"/>
          <w:sz w:val="20"/>
          <w:szCs w:val="20"/>
        </w:rPr>
        <w:t xml:space="preserve">📍 Tunisie</w:t>
      </w:r>
    </w:p>
    <w:p>
      <w:pPr>
        <w:pStyle w:val="ListParagraph"/>
        <w:numPr>
          <w:ilvl w:val="0"/>
          <w:numId w:val="2"/>
        </w:numPr>
        <w:spacing w:after="20" w:before="40"/>
      </w:pPr>
      <w:r>
        <w:rPr>
          <w:rFonts w:ascii="Arial" w:cs="Arial" w:eastAsia="Arial" w:hAnsi="Arial"/>
          <w:color w:val="1A1A1A"/>
          <w:sz w:val="20"/>
          <w:szCs w:val="20"/>
        </w:rPr>
        <w:t xml:space="preserve">Rapporteur de la Commission Nationale de Suivi des Entreprises Économiques (CSEE), tous secteurs confondus.</w:t>
      </w:r>
    </w:p>
    <w:p>
      <w:pPr>
        <w:pStyle w:val="ListParagraph"/>
        <w:numPr>
          <w:ilvl w:val="0"/>
          <w:numId w:val="2"/>
        </w:numPr>
        <w:spacing w:after="20" w:before="40"/>
      </w:pPr>
      <w:r>
        <w:rPr>
          <w:rFonts w:ascii="Arial" w:cs="Arial" w:eastAsia="Arial" w:hAnsi="Arial"/>
          <w:color w:val="1A1A1A"/>
          <w:sz w:val="20"/>
          <w:szCs w:val="20"/>
        </w:rPr>
        <w:t xml:space="preserve">Suivi des dossiers de redressement d'entreprises en lien direct avec les tribunaux compétents.</w:t>
      </w:r>
    </w:p>
    <w:p>
      <w:pPr>
        <w:pStyle w:val="ListParagraph"/>
        <w:numPr>
          <w:ilvl w:val="0"/>
          <w:numId w:val="2"/>
        </w:numPr>
        <w:spacing w:after="20" w:before="40"/>
      </w:pPr>
      <w:r>
        <w:rPr>
          <w:rFonts w:ascii="Arial" w:cs="Arial" w:eastAsia="Arial" w:hAnsi="Arial"/>
          <w:color w:val="1A1A1A"/>
          <w:sz w:val="20"/>
          <w:szCs w:val="20"/>
        </w:rPr>
        <w:t xml:space="preserve">Élaboration de textes juridiques et réglementaires (lois, décrets, arrêtés) pour les secteurs industrie/énergie.</w:t>
      </w:r>
    </w:p>
    <w:p>
      <w:pPr>
        <w:pStyle w:val="ListParagraph"/>
        <w:numPr>
          <w:ilvl w:val="0"/>
          <w:numId w:val="2"/>
        </w:numPr>
        <w:spacing w:after="20" w:before="40"/>
      </w:pPr>
      <w:r>
        <w:rPr>
          <w:rFonts w:ascii="Arial" w:cs="Arial" w:eastAsia="Arial" w:hAnsi="Arial"/>
          <w:color w:val="1A1A1A"/>
          <w:sz w:val="20"/>
          <w:szCs w:val="20"/>
        </w:rPr>
        <w:t xml:space="preserve">Coordination interministérielle et participation active aux séminaires annuels sur les entreprises en difficulté.</w:t>
      </w:r>
    </w:p>
    <w:p>
      <w:pPr>
        <w:pStyle w:val="ListParagraph"/>
        <w:numPr>
          <w:ilvl w:val="0"/>
          <w:numId w:val="2"/>
        </w:numPr>
        <w:spacing w:after="20" w:before="40"/>
      </w:pPr>
      <w:r>
        <w:rPr>
          <w:rFonts w:ascii="Arial" w:cs="Arial" w:eastAsia="Arial" w:hAnsi="Arial"/>
          <w:color w:val="1A1A1A"/>
          <w:sz w:val="20"/>
          <w:szCs w:val="20"/>
        </w:rPr>
        <w:t xml:space="preserve">Contribution à l'élaboration de la réglementation du Fonds de Maîtrise de l'Énergie.</w:t>
      </w:r>
    </w:p>
    <w:p>
      <w:pPr>
        <w:spacing w:after="40" w:before="160"/>
      </w:pPr>
      <w:r>
        <w:rPr>
          <w:rFonts w:ascii="Arial" w:cs="Arial" w:eastAsia="Arial" w:hAnsi="Arial"/>
          <w:b/>
          <w:bCs/>
          <w:color w:val="1B3A6B"/>
          <w:sz w:val="24"/>
          <w:szCs w:val="24"/>
        </w:rPr>
        <w:t xml:space="preserve">Consultant Juridique</w:t>
      </w:r>
    </w:p>
    <w:p>
      <w:pPr>
        <w:tabs>
          <w:tab w:val="right" w:pos="9746"/>
        </w:tabs>
        <w:spacing w:after="60" w:before="0"/>
      </w:pPr>
      <w:r>
        <w:rPr>
          <w:rFonts w:ascii="Arial" w:cs="Arial" w:eastAsia="Arial" w:hAnsi="Arial"/>
          <w:b/>
          <w:bCs/>
          <w:color w:val="2E75B6"/>
          <w:sz w:val="22"/>
          <w:szCs w:val="22"/>
        </w:rPr>
        <w:t xml:space="preserve">Cabinet d'expertise comptable</w:t>
      </w:r>
      <w:r>
        <w:rPr>
          <w:rFonts w:ascii="Arial" w:cs="Arial" w:eastAsia="Arial" w:hAnsi="Arial"/>
          <w:i/>
          <w:iCs/>
          <w:color w:val="666666"/>
          <w:sz w:val="20"/>
          <w:szCs w:val="20"/>
        </w:rPr>
        <w:t xml:space="preserve">	1999 – 2000</w:t>
      </w:r>
    </w:p>
    <w:p>
      <w:pPr>
        <w:spacing w:after="60" w:before="0"/>
      </w:pPr>
      <w:r>
        <w:rPr>
          <w:rFonts w:ascii="Arial" w:cs="Arial" w:eastAsia="Arial" w:hAnsi="Arial"/>
          <w:color w:val="666666"/>
          <w:sz w:val="20"/>
          <w:szCs w:val="20"/>
        </w:rPr>
        <w:t xml:space="preserve">📍 Tunis</w:t>
      </w:r>
    </w:p>
    <w:p>
      <w:pPr>
        <w:pStyle w:val="ListParagraph"/>
        <w:numPr>
          <w:ilvl w:val="0"/>
          <w:numId w:val="2"/>
        </w:numPr>
        <w:spacing w:after="20" w:before="40"/>
      </w:pPr>
      <w:r>
        <w:rPr>
          <w:rFonts w:ascii="Arial" w:cs="Arial" w:eastAsia="Arial" w:hAnsi="Arial"/>
          <w:color w:val="1A1A1A"/>
          <w:sz w:val="20"/>
          <w:szCs w:val="20"/>
        </w:rPr>
        <w:t xml:space="preserve">Conseil en droit commercial et audit de conventions et contrats.</w:t>
      </w:r>
    </w:p>
    <w:p>
      <w:pPr>
        <w:pStyle w:val="ListParagraph"/>
        <w:numPr>
          <w:ilvl w:val="0"/>
          <w:numId w:val="2"/>
        </w:numPr>
        <w:spacing w:after="20" w:before="40"/>
      </w:pPr>
      <w:r>
        <w:rPr>
          <w:rFonts w:ascii="Arial" w:cs="Arial" w:eastAsia="Arial" w:hAnsi="Arial"/>
          <w:color w:val="1A1A1A"/>
          <w:sz w:val="20"/>
          <w:szCs w:val="20"/>
        </w:rPr>
        <w:t xml:space="preserve">Formateur en droit commercial auprès des clients du cabinet.</w:t>
      </w:r>
    </w:p>
    <w:p>
      <w:pPr>
        <w:spacing w:after="0" w:before="0" w:line="80"/>
      </w:pPr>
      <w:r>
        <w:t xml:space="preserve"/>
      </w:r>
    </w:p>
    <w:p>
      <w:pPr>
        <w:pBdr>
          <w:bottom w:val="single" w:color="2E75B6" w:sz="8" w:space="4"/>
        </w:pBdr>
        <w:spacing w:after="80" w:before="240"/>
      </w:pPr>
      <w:r>
        <w:rPr>
          <w:rFonts w:ascii="Arial" w:cs="Arial" w:eastAsia="Arial" w:hAnsi="Arial"/>
          <w:b/>
          <w:bCs/>
          <w:color w:val="1B3A6B"/>
          <w:spacing w:val="40"/>
          <w:sz w:val="26"/>
          <w:szCs w:val="26"/>
        </w:rPr>
        <w:t xml:space="preserve">FORMATION</w:t>
      </w:r>
    </w:p>
    <w:p>
      <w:pPr>
        <w:tabs>
          <w:tab w:val="right" w:pos="9746"/>
        </w:tabs>
        <w:spacing w:after="60" w:before="120"/>
      </w:pPr>
      <w:r>
        <w:rPr>
          <w:rFonts w:ascii="Arial" w:cs="Arial" w:eastAsia="Arial" w:hAnsi="Arial"/>
          <w:b/>
          <w:bCs/>
          <w:color w:val="1B3A6B"/>
          <w:sz w:val="22"/>
          <w:szCs w:val="22"/>
        </w:rPr>
        <w:t xml:space="preserve">Maîtrise en Sciences Juridiques</w:t>
      </w:r>
      <w:r>
        <w:rPr>
          <w:rFonts w:ascii="Arial" w:cs="Arial" w:eastAsia="Arial" w:hAnsi="Arial"/>
          <w:i/>
          <w:iCs/>
          <w:color w:val="666666"/>
          <w:sz w:val="20"/>
          <w:szCs w:val="20"/>
        </w:rPr>
        <w:t xml:space="preserve">	1998</w:t>
      </w:r>
    </w:p>
    <w:p>
      <w:pPr>
        <w:spacing w:after="0" w:before="0"/>
      </w:pPr>
      <w:r>
        <w:rPr>
          <w:rFonts w:ascii="Arial" w:cs="Arial" w:eastAsia="Arial" w:hAnsi="Arial"/>
          <w:color w:val="1A1A1A"/>
          <w:sz w:val="20"/>
          <w:szCs w:val="20"/>
        </w:rPr>
        <w:t xml:space="preserve">Faculté des Sciences Juridiques, Politiques et Sociales de Tunis</w:t>
      </w:r>
    </w:p>
    <w:p>
      <w:pPr>
        <w:spacing w:after="0" w:before="0" w:line="160"/>
      </w:pPr>
      <w:r>
        <w:t xml:space="preserve"/>
      </w:r>
    </w:p>
    <w:p>
      <w:pPr>
        <w:pBdr>
          <w:bottom w:val="single" w:color="2E75B6" w:sz="8" w:space="4"/>
        </w:pBdr>
        <w:spacing w:after="80" w:before="240"/>
      </w:pPr>
      <w:r>
        <w:rPr>
          <w:rFonts w:ascii="Arial" w:cs="Arial" w:eastAsia="Arial" w:hAnsi="Arial"/>
          <w:b/>
          <w:bCs/>
          <w:color w:val="1B3A6B"/>
          <w:spacing w:val="40"/>
          <w:sz w:val="26"/>
          <w:szCs w:val="26"/>
        </w:rPr>
        <w:t xml:space="preserve">LANGUES</w:t>
      </w:r>
    </w:p>
    <w:p>
      <w:pPr>
        <w:spacing w:after="0" w:before="0" w:line="120"/>
      </w:pPr>
      <w:r>
        <w:t xml:space="preserve"/>
      </w:r>
    </w:p>
    <w:tbl>
      <w:tblPr>
        <w:tblW w:type="dxa" w:w="9746"/>
        <w:tblBorders>
          <w:top w:val="none"/>
          <w:left w:val="none"/>
          <w:bottom w:val="none"/>
          <w:right w:val="none"/>
          <w:insideH w:val="single" w:color="auto" w:sz="4"/>
          <w:insideV w:val="single" w:color="auto" w:sz="4"/>
        </w:tblBorders>
      </w:tblPr>
      <w:tblGrid>
        <w:gridCol w:w="2000"/>
        <w:gridCol w:w="2000"/>
        <w:gridCol w:w="5746"/>
      </w:tblGrid>
      <w:tr>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b/>
                <w:bCs/>
                <w:color w:val="1A1A1A"/>
                <w:sz w:val="20"/>
                <w:szCs w:val="20"/>
              </w:rPr>
              <w:t xml:space="preserve">Arabe</w:t>
            </w:r>
          </w:p>
        </w:tc>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i/>
                <w:iCs/>
                <w:color w:val="2E75B6"/>
                <w:sz w:val="18"/>
                <w:szCs w:val="18"/>
              </w:rPr>
              <w:t xml:space="preserve">Langue maternelle</w:t>
            </w:r>
          </w:p>
        </w:tc>
        <w:tc>
          <w:tcPr>
            <w:tcW w:type="dxa" w:w="5746"/>
            <w:tcBorders>
              <w:top w:val="none"/>
              <w:left w:val="none"/>
              <w:bottom w:val="none"/>
              <w:right w:val="none"/>
            </w:tcBorders>
            <w:tcMar>
              <w:top w:type="dxa" w:w="60"/>
              <w:left w:type="dxa" w:w="0"/>
              <w:bottom w:type="dxa" w:w="60"/>
              <w:right w:type="dxa" w:w="0"/>
            </w:tcMar>
          </w:tcPr>
          <w:p>
            <w:r>
              <w:rPr>
                <w:rFonts w:ascii="Courier New" w:cs="Courier New" w:eastAsia="Courier New" w:hAnsi="Courier New"/>
                <w:color w:val="2E75B6"/>
                <w:sz w:val="18"/>
                <w:szCs w:val="18"/>
              </w:rPr>
              <w:t xml:space="preserve">██████████</w:t>
            </w:r>
          </w:p>
        </w:tc>
      </w:tr>
      <w:tr>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b/>
                <w:bCs/>
                <w:color w:val="1A1A1A"/>
                <w:sz w:val="20"/>
                <w:szCs w:val="20"/>
              </w:rPr>
              <w:t xml:space="preserve">Français</w:t>
            </w:r>
          </w:p>
        </w:tc>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i/>
                <w:iCs/>
                <w:color w:val="2E75B6"/>
                <w:sz w:val="18"/>
                <w:szCs w:val="18"/>
              </w:rPr>
              <w:t xml:space="preserve">Courant (C2)</w:t>
            </w:r>
          </w:p>
        </w:tc>
        <w:tc>
          <w:tcPr>
            <w:tcW w:type="dxa" w:w="5746"/>
            <w:tcBorders>
              <w:top w:val="none"/>
              <w:left w:val="none"/>
              <w:bottom w:val="none"/>
              <w:right w:val="none"/>
            </w:tcBorders>
            <w:tcMar>
              <w:top w:type="dxa" w:w="60"/>
              <w:left w:type="dxa" w:w="0"/>
              <w:bottom w:type="dxa" w:w="60"/>
              <w:right w:type="dxa" w:w="0"/>
            </w:tcMar>
          </w:tcPr>
          <w:p>
            <w:r>
              <w:rPr>
                <w:rFonts w:ascii="Courier New" w:cs="Courier New" w:eastAsia="Courier New" w:hAnsi="Courier New"/>
                <w:color w:val="2E75B6"/>
                <w:sz w:val="18"/>
                <w:szCs w:val="18"/>
              </w:rPr>
              <w:t xml:space="preserve">██████████</w:t>
            </w:r>
          </w:p>
        </w:tc>
      </w:tr>
      <w:tr>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b/>
                <w:bCs/>
                <w:color w:val="1A1A1A"/>
                <w:sz w:val="20"/>
                <w:szCs w:val="20"/>
              </w:rPr>
              <w:t xml:space="preserve">Anglais</w:t>
            </w:r>
          </w:p>
        </w:tc>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i/>
                <w:iCs/>
                <w:color w:val="2E75B6"/>
                <w:sz w:val="18"/>
                <w:szCs w:val="18"/>
              </w:rPr>
              <w:t xml:space="preserve">Professionnel (B2)</w:t>
            </w:r>
          </w:p>
        </w:tc>
        <w:tc>
          <w:tcPr>
            <w:tcW w:type="dxa" w:w="5746"/>
            <w:tcBorders>
              <w:top w:val="none"/>
              <w:left w:val="none"/>
              <w:bottom w:val="none"/>
              <w:right w:val="none"/>
            </w:tcBorders>
            <w:tcMar>
              <w:top w:type="dxa" w:w="60"/>
              <w:left w:type="dxa" w:w="0"/>
              <w:bottom w:type="dxa" w:w="60"/>
              <w:right w:type="dxa" w:w="0"/>
            </w:tcMar>
          </w:tcPr>
          <w:p>
            <w:r>
              <w:rPr>
                <w:rFonts w:ascii="Courier New" w:cs="Courier New" w:eastAsia="Courier New" w:hAnsi="Courier New"/>
                <w:color w:val="2E75B6"/>
                <w:sz w:val="18"/>
                <w:szCs w:val="18"/>
              </w:rPr>
              <w:t xml:space="preserve">████████░░</w:t>
            </w:r>
          </w:p>
        </w:tc>
      </w:tr>
      <w:tr>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b/>
                <w:bCs/>
                <w:color w:val="1A1A1A"/>
                <w:sz w:val="20"/>
                <w:szCs w:val="20"/>
              </w:rPr>
              <w:t xml:space="preserve">Espagnol</w:t>
            </w:r>
          </w:p>
        </w:tc>
        <w:tc>
          <w:tcPr>
            <w:tcW w:type="dxa" w:w="2000"/>
            <w:tcBorders>
              <w:top w:val="none"/>
              <w:left w:val="none"/>
              <w:bottom w:val="none"/>
              <w:right w:val="none"/>
            </w:tcBorders>
            <w:tcMar>
              <w:top w:type="dxa" w:w="60"/>
              <w:left w:type="dxa" w:w="0"/>
              <w:bottom w:type="dxa" w:w="60"/>
              <w:right w:type="dxa" w:w="120"/>
            </w:tcMar>
          </w:tcPr>
          <w:p>
            <w:r>
              <w:rPr>
                <w:rFonts w:ascii="Arial" w:cs="Arial" w:eastAsia="Arial" w:hAnsi="Arial"/>
                <w:i/>
                <w:iCs/>
                <w:color w:val="2E75B6"/>
                <w:sz w:val="18"/>
                <w:szCs w:val="18"/>
              </w:rPr>
              <w:t xml:space="preserve">Notions avancées (B1)</w:t>
            </w:r>
          </w:p>
        </w:tc>
        <w:tc>
          <w:tcPr>
            <w:tcW w:type="dxa" w:w="5746"/>
            <w:tcBorders>
              <w:top w:val="none"/>
              <w:left w:val="none"/>
              <w:bottom w:val="none"/>
              <w:right w:val="none"/>
            </w:tcBorders>
            <w:tcMar>
              <w:top w:type="dxa" w:w="60"/>
              <w:left w:type="dxa" w:w="0"/>
              <w:bottom w:type="dxa" w:w="60"/>
              <w:right w:type="dxa" w:w="0"/>
            </w:tcMar>
          </w:tcPr>
          <w:p>
            <w:r>
              <w:rPr>
                <w:rFonts w:ascii="Courier New" w:cs="Courier New" w:eastAsia="Courier New" w:hAnsi="Courier New"/>
                <w:color w:val="2E75B6"/>
                <w:sz w:val="18"/>
                <w:szCs w:val="18"/>
              </w:rPr>
              <w:t xml:space="preserve">█████░░░░░</w:t>
            </w:r>
          </w:p>
        </w:tc>
      </w:tr>
    </w:tbl>
    <w:p>
      <w:pPr>
        <w:spacing w:after="0" w:before="0" w:line="160"/>
      </w:pPr>
      <w:r>
        <w:t xml:space="preserve"/>
      </w:r>
    </w:p>
    <w:p>
      <w:pPr>
        <w:pBdr>
          <w:bottom w:val="single" w:color="2E75B6" w:sz="8" w:space="4"/>
        </w:pBdr>
        <w:spacing w:after="80" w:before="240"/>
      </w:pPr>
      <w:r>
        <w:rPr>
          <w:rFonts w:ascii="Arial" w:cs="Arial" w:eastAsia="Arial" w:hAnsi="Arial"/>
          <w:b/>
          <w:bCs/>
          <w:color w:val="1B3A6B"/>
          <w:spacing w:val="40"/>
          <w:sz w:val="26"/>
          <w:szCs w:val="26"/>
        </w:rPr>
        <w:t xml:space="preserve">RÉFÉRENCES</w:t>
      </w:r>
    </w:p>
    <w:p>
      <w:pPr>
        <w:spacing w:after="0" w:before="0" w:line="120"/>
      </w:pPr>
      <w:r>
        <w:t xml:space="preserve"/>
      </w:r>
    </w:p>
    <w:tbl>
      <w:tblPr>
        <w:tblW w:type="dxa" w:w="9746"/>
        <w:tblBorders>
          <w:top w:val="none"/>
          <w:left w:val="none"/>
          <w:bottom w:val="none"/>
          <w:right w:val="none"/>
          <w:insideH w:val="single" w:color="auto" w:sz="4"/>
          <w:insideV w:val="single" w:color="auto" w:sz="4"/>
        </w:tblBorders>
      </w:tblPr>
      <w:tblGrid>
        <w:gridCol w:w="3248"/>
        <w:gridCol w:w="3248"/>
        <w:gridCol w:w="3250"/>
      </w:tblGrid>
      <w:tr>
        <w:tc>
          <w:tcPr>
            <w:tcW w:type="dxa" w:w="3248"/>
            <w:tcBorders>
              <w:top w:val="single" w:color="CCDDEE" w:sz="1"/>
              <w:left w:val="single" w:color="CCDDEE" w:sz="1"/>
              <w:bottom w:val="single" w:color="CCDDEE" w:sz="1"/>
              <w:right w:val="single" w:color="CCDDEE" w:sz="1"/>
            </w:tcBorders>
            <w:shd w:fill="EBF2FA" w:val="clear"/>
            <w:tcMar>
              <w:top w:type="dxa" w:w="120"/>
              <w:left w:type="dxa" w:w="160"/>
              <w:bottom w:type="dxa" w:w="120"/>
              <w:right w:type="dxa" w:w="160"/>
            </w:tcMar>
          </w:tcPr>
          <w:p>
            <w:pPr>
              <w:spacing w:after="40" w:before="0"/>
            </w:pPr>
            <w:r>
              <w:rPr>
                <w:rFonts w:ascii="Arial" w:cs="Arial" w:eastAsia="Arial" w:hAnsi="Arial"/>
                <w:b/>
                <w:bCs/>
                <w:color w:val="1B3A6B"/>
                <w:sz w:val="20"/>
                <w:szCs w:val="20"/>
              </w:rPr>
              <w:t xml:space="preserve">M. Wajih Hassine</w:t>
            </w:r>
          </w:p>
          <w:p>
            <w:pPr>
              <w:spacing w:after="40" w:before="0"/>
            </w:pPr>
            <w:r>
              <w:rPr>
                <w:rFonts w:ascii="Arial" w:cs="Arial" w:eastAsia="Arial" w:hAnsi="Arial"/>
                <w:i/>
                <w:iCs/>
                <w:color w:val="1A1A1A"/>
                <w:sz w:val="18"/>
                <w:szCs w:val="18"/>
              </w:rPr>
              <w:t xml:space="preserve">DG – Banque de Financement des PME (BFPME)</w:t>
            </w:r>
          </w:p>
          <w:p>
            <w:pPr>
              <w:spacing w:after="0" w:before="0"/>
            </w:pPr>
            <w:r>
              <w:rPr>
                <w:rFonts w:ascii="Arial" w:cs="Arial" w:eastAsia="Arial" w:hAnsi="Arial"/>
                <w:color w:val="2E75B6"/>
                <w:sz w:val="18"/>
                <w:szCs w:val="18"/>
              </w:rPr>
              <w:t xml:space="preserve">+216 99 083 631</w:t>
            </w:r>
          </w:p>
        </w:tc>
        <w:tc>
          <w:tcPr>
            <w:tcW w:type="dxa" w:w="3248"/>
            <w:tcBorders>
              <w:top w:val="single" w:color="CCDDEE" w:sz="1"/>
              <w:left w:val="single" w:color="CCDDEE" w:sz="1"/>
              <w:bottom w:val="single" w:color="CCDDEE" w:sz="1"/>
              <w:right w:val="single" w:color="CCDDEE" w:sz="1"/>
            </w:tcBorders>
            <w:shd w:fill="EBF2FA" w:val="clear"/>
            <w:tcMar>
              <w:top w:type="dxa" w:w="120"/>
              <w:left w:type="dxa" w:w="160"/>
              <w:bottom w:type="dxa" w:w="120"/>
              <w:right w:type="dxa" w:w="160"/>
            </w:tcMar>
          </w:tcPr>
          <w:p>
            <w:pPr>
              <w:spacing w:after="40" w:before="0"/>
            </w:pPr>
            <w:r>
              <w:rPr>
                <w:rFonts w:ascii="Arial" w:cs="Arial" w:eastAsia="Arial" w:hAnsi="Arial"/>
                <w:b/>
                <w:bCs/>
                <w:color w:val="1B3A6B"/>
                <w:sz w:val="20"/>
                <w:szCs w:val="20"/>
              </w:rPr>
              <w:t xml:space="preserve">M. Yassine Wali</w:t>
            </w:r>
          </w:p>
          <w:p>
            <w:pPr>
              <w:spacing w:after="40" w:before="0"/>
            </w:pPr>
            <w:r>
              <w:rPr>
                <w:rFonts w:ascii="Arial" w:cs="Arial" w:eastAsia="Arial" w:hAnsi="Arial"/>
                <w:i/>
                <w:iCs/>
                <w:color w:val="1A1A1A"/>
                <w:sz w:val="18"/>
                <w:szCs w:val="18"/>
              </w:rPr>
              <w:t xml:space="preserve">Directeur Général – TUNAC</w:t>
            </w:r>
          </w:p>
          <w:p>
            <w:pPr>
              <w:spacing w:after="0" w:before="0"/>
            </w:pPr>
            <w:r>
              <w:rPr>
                <w:rFonts w:ascii="Arial" w:cs="Arial" w:eastAsia="Arial" w:hAnsi="Arial"/>
                <w:color w:val="2E75B6"/>
                <w:sz w:val="18"/>
                <w:szCs w:val="18"/>
              </w:rPr>
              <w:t xml:space="preserve">+216 98 208 094</w:t>
            </w:r>
          </w:p>
        </w:tc>
        <w:tc>
          <w:tcPr>
            <w:tcW w:type="dxa" w:w="3250"/>
            <w:tcBorders>
              <w:top w:val="single" w:color="CCDDEE" w:sz="1"/>
              <w:left w:val="single" w:color="CCDDEE" w:sz="1"/>
              <w:bottom w:val="single" w:color="CCDDEE" w:sz="1"/>
              <w:right w:val="single" w:color="CCDDEE" w:sz="1"/>
            </w:tcBorders>
            <w:shd w:fill="EBF2FA" w:val="clear"/>
            <w:tcMar>
              <w:top w:type="dxa" w:w="120"/>
              <w:left w:type="dxa" w:w="160"/>
              <w:bottom w:type="dxa" w:w="120"/>
              <w:right w:type="dxa" w:w="160"/>
            </w:tcMar>
          </w:tcPr>
          <w:p>
            <w:pPr>
              <w:spacing w:after="40" w:before="0"/>
            </w:pPr>
            <w:r>
              <w:rPr>
                <w:rFonts w:ascii="Arial" w:cs="Arial" w:eastAsia="Arial" w:hAnsi="Arial"/>
                <w:b/>
                <w:bCs/>
                <w:color w:val="1B3A6B"/>
                <w:sz w:val="20"/>
                <w:szCs w:val="20"/>
              </w:rPr>
              <w:t xml:space="preserve">M. Mbarek Khamassi</w:t>
            </w:r>
          </w:p>
          <w:p>
            <w:pPr>
              <w:spacing w:after="40" w:before="0"/>
            </w:pPr>
            <w:r>
              <w:rPr>
                <w:rFonts w:ascii="Arial" w:cs="Arial" w:eastAsia="Arial" w:hAnsi="Arial"/>
                <w:i/>
                <w:iCs/>
                <w:color w:val="1A1A1A"/>
                <w:sz w:val="18"/>
                <w:szCs w:val="18"/>
              </w:rPr>
              <w:t xml:space="preserve">Expert international en audit, ex-DG Ministère de l'Industrie</w:t>
            </w:r>
          </w:p>
          <w:p>
            <w:pPr>
              <w:spacing w:after="0" w:before="0"/>
            </w:pPr>
            <w:r>
              <w:rPr>
                <w:rFonts w:ascii="Arial" w:cs="Arial" w:eastAsia="Arial" w:hAnsi="Arial"/>
                <w:color w:val="2E75B6"/>
                <w:sz w:val="18"/>
                <w:szCs w:val="18"/>
              </w:rPr>
              <w:t xml:space="preserve">+216 98 288 351</w:t>
            </w:r>
          </w:p>
        </w:tc>
      </w:tr>
    </w:tbl>
    <w:p>
      <w:pPr>
        <w:spacing w:after="0" w:before="0" w:line="120"/>
      </w:pPr>
      <w:r>
        <w:t xml:space="preserve"/>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2026-04-05T19:36:15.428Z</dcterms:created>
  <dcterms:modified xsi:type="dcterms:W3CDTF">2026-04-05T19:36:15.429Z</dcterms:modified>
</cp:coreProperties>
</file>

<file path=docProps/custom.xml><?xml version="1.0" encoding="utf-8"?>
<Properties xmlns="http://schemas.openxmlformats.org/officeDocument/2006/custom-properties" xmlns:vt="http://schemas.openxmlformats.org/officeDocument/2006/docPropsVTypes"/>
</file>