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284"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80"/>
        <w:gridCol w:w="4110"/>
      </w:tblGrid>
      <w:tr w:rsidR="00AC2FAA" w14:paraId="5D668514" w14:textId="77777777" w:rsidTr="00180F2B">
        <w:trPr>
          <w:trHeight w:val="969"/>
        </w:trPr>
        <w:tc>
          <w:tcPr>
            <w:tcW w:w="6380" w:type="dxa"/>
            <w:shd w:val="clear" w:color="auto" w:fill="1F3864"/>
            <w:tcMar>
              <w:top w:w="300" w:type="dxa"/>
              <w:left w:w="300" w:type="dxa"/>
              <w:bottom w:w="300" w:type="dxa"/>
              <w:right w:w="200" w:type="dxa"/>
            </w:tcMar>
            <w:vAlign w:val="center"/>
          </w:tcPr>
          <w:p w14:paraId="06129E7F" w14:textId="77777777" w:rsidR="00AC2FAA" w:rsidRDefault="00066E4B">
            <w:r>
              <w:rPr>
                <w:b/>
                <w:bCs/>
                <w:color w:val="FFFFFF"/>
                <w:sz w:val="44"/>
                <w:szCs w:val="44"/>
              </w:rPr>
              <w:t>SOULAMA Alain</w:t>
            </w:r>
          </w:p>
          <w:p w14:paraId="1357243D" w14:textId="080A493E" w:rsidR="00AC2FAA" w:rsidRPr="005C7948" w:rsidRDefault="00066E4B">
            <w:pPr>
              <w:spacing w:before="100"/>
              <w:rPr>
                <w:sz w:val="18"/>
                <w:szCs w:val="18"/>
              </w:rPr>
            </w:pPr>
            <w:r w:rsidRPr="005C7948">
              <w:rPr>
                <w:i/>
                <w:iCs/>
                <w:color w:val="A8D8EA"/>
              </w:rPr>
              <w:t xml:space="preserve">Senior Consultant | Banking, Finance &amp; </w:t>
            </w:r>
            <w:r w:rsidR="005C7948" w:rsidRPr="005C7948">
              <w:rPr>
                <w:i/>
                <w:iCs/>
                <w:color w:val="A8D8EA"/>
              </w:rPr>
              <w:t>Développement</w:t>
            </w:r>
            <w:r w:rsidRPr="005C7948">
              <w:rPr>
                <w:i/>
                <w:iCs/>
                <w:color w:val="A8D8EA"/>
              </w:rPr>
              <w:t xml:space="preserve"> Programs</w:t>
            </w:r>
          </w:p>
          <w:p w14:paraId="1115F12F" w14:textId="77777777" w:rsidR="00AC2FAA" w:rsidRDefault="00066E4B">
            <w:pPr>
              <w:spacing w:before="120"/>
            </w:pPr>
            <w:r w:rsidRPr="005C7948">
              <w:rPr>
                <w:color w:val="BDC3C7"/>
                <w:sz w:val="18"/>
                <w:szCs w:val="18"/>
              </w:rPr>
              <w:t>30+ ans d'expérience | Secteur bancaire &amp; financier | Afrique de l'Ouest</w:t>
            </w:r>
          </w:p>
        </w:tc>
        <w:tc>
          <w:tcPr>
            <w:tcW w:w="4110" w:type="dxa"/>
            <w:shd w:val="clear" w:color="auto" w:fill="2E75B6"/>
            <w:tcMar>
              <w:top w:w="300" w:type="dxa"/>
              <w:left w:w="200" w:type="dxa"/>
              <w:bottom w:w="300" w:type="dxa"/>
              <w:right w:w="200" w:type="dxa"/>
            </w:tcMar>
            <w:vAlign w:val="center"/>
          </w:tcPr>
          <w:p w14:paraId="11D25452" w14:textId="77777777" w:rsidR="00AC2FAA" w:rsidRDefault="00066E4B" w:rsidP="00180F2B">
            <w:pPr>
              <w:ind w:left="-61"/>
            </w:pPr>
            <w:r>
              <w:rPr>
                <w:color w:val="FFFFFF"/>
                <w:sz w:val="18"/>
                <w:szCs w:val="18"/>
              </w:rPr>
              <w:t>📍</w:t>
            </w:r>
            <w:r>
              <w:rPr>
                <w:color w:val="FFFFFF"/>
                <w:sz w:val="18"/>
                <w:szCs w:val="18"/>
              </w:rPr>
              <w:t xml:space="preserve"> Ouagadougou, Burkina Faso</w:t>
            </w:r>
          </w:p>
          <w:p w14:paraId="4CF982C3" w14:textId="77777777" w:rsidR="00AC2FAA" w:rsidRDefault="00066E4B" w:rsidP="00180F2B">
            <w:pPr>
              <w:spacing w:before="80"/>
              <w:ind w:left="-61"/>
            </w:pPr>
            <w:r>
              <w:rPr>
                <w:color w:val="FFFFFF"/>
                <w:sz w:val="18"/>
                <w:szCs w:val="18"/>
              </w:rPr>
              <w:t>🌐</w:t>
            </w:r>
            <w:r>
              <w:rPr>
                <w:color w:val="FFFFFF"/>
                <w:sz w:val="18"/>
                <w:szCs w:val="18"/>
              </w:rPr>
              <w:t xml:space="preserve"> Français | Anglais</w:t>
            </w:r>
          </w:p>
          <w:p w14:paraId="767DED15" w14:textId="77777777" w:rsidR="00180F2B" w:rsidRPr="00180F2B" w:rsidRDefault="00180F2B" w:rsidP="00180F2B">
            <w:pPr>
              <w:spacing w:before="60"/>
              <w:ind w:left="-98"/>
              <w:rPr>
                <w:i/>
                <w:iCs/>
                <w:color w:val="D6EAF8"/>
                <w:sz w:val="17"/>
                <w:szCs w:val="17"/>
              </w:rPr>
            </w:pPr>
            <w:r w:rsidRPr="00180F2B">
              <w:rPr>
                <w:rFonts w:ascii="Segoe UI Emoji" w:hAnsi="Segoe UI Emoji" w:cs="Segoe UI Emoji"/>
                <w:i/>
                <w:iCs/>
                <w:color w:val="D6EAF8"/>
                <w:sz w:val="17"/>
                <w:szCs w:val="17"/>
              </w:rPr>
              <w:t>🎓</w:t>
            </w:r>
            <w:r w:rsidRPr="00180F2B">
              <w:rPr>
                <w:i/>
                <w:iCs/>
                <w:color w:val="D6EAF8"/>
                <w:sz w:val="17"/>
                <w:szCs w:val="17"/>
              </w:rPr>
              <w:t xml:space="preserve"> Diplôme ITB – École Supérieur de la Banque </w:t>
            </w:r>
          </w:p>
          <w:p w14:paraId="1B1A5CCB" w14:textId="120FF887" w:rsidR="00180F2B" w:rsidRPr="00180F2B" w:rsidRDefault="00180F2B" w:rsidP="00180F2B">
            <w:pPr>
              <w:ind w:left="-98" w:right="-201"/>
              <w:rPr>
                <w:i/>
                <w:iCs/>
                <w:color w:val="D6EAF8"/>
                <w:sz w:val="17"/>
                <w:szCs w:val="17"/>
              </w:rPr>
            </w:pPr>
            <w:r w:rsidRPr="00180F2B">
              <w:rPr>
                <w:i/>
                <w:iCs/>
                <w:color w:val="D6EAF8"/>
                <w:sz w:val="17"/>
                <w:szCs w:val="17"/>
              </w:rPr>
              <w:t xml:space="preserve">      Conservatoire national des arts et métiers </w:t>
            </w:r>
          </w:p>
        </w:tc>
      </w:tr>
    </w:tbl>
    <w:p w14:paraId="410C25FC" w14:textId="77777777" w:rsidR="00AC2FAA" w:rsidRDefault="00AC2FAA" w:rsidP="005C7948">
      <w:pPr>
        <w:spacing w:before="120"/>
      </w:pPr>
    </w:p>
    <w:p w14:paraId="0A1A0699" w14:textId="77777777" w:rsidR="00AC2FAA" w:rsidRDefault="00066E4B" w:rsidP="005C7948">
      <w:pPr>
        <w:pBdr>
          <w:bottom w:val="single" w:sz="8" w:space="0" w:color="2E75B6"/>
        </w:pBdr>
        <w:shd w:val="clear" w:color="auto" w:fill="CAEDFB" w:themeFill="accent4" w:themeFillTint="33"/>
        <w:spacing w:before="240" w:after="80"/>
        <w:ind w:left="-142"/>
      </w:pPr>
      <w:r>
        <w:rPr>
          <w:b/>
          <w:bCs/>
          <w:color w:val="1F3864"/>
          <w:sz w:val="22"/>
          <w:szCs w:val="22"/>
        </w:rPr>
        <w:t>PROFIL EXÉCUTIF</w:t>
      </w:r>
    </w:p>
    <w:p w14:paraId="5A51EAE2" w14:textId="77777777" w:rsidR="00884A08" w:rsidRDefault="00884A08" w:rsidP="00071568">
      <w:pPr>
        <w:spacing w:before="100" w:after="80"/>
        <w:ind w:left="-142"/>
        <w:jc w:val="both"/>
        <w:rPr>
          <w:color w:val="2C3E50"/>
          <w:sz w:val="19"/>
          <w:szCs w:val="19"/>
        </w:rPr>
      </w:pPr>
    </w:p>
    <w:p w14:paraId="25CF90D7" w14:textId="51B8231C" w:rsidR="00071568" w:rsidRDefault="00066E4B" w:rsidP="00071568">
      <w:pPr>
        <w:spacing w:before="100" w:after="80"/>
        <w:ind w:left="-142"/>
        <w:jc w:val="both"/>
        <w:rPr>
          <w:color w:val="2C3E50"/>
          <w:sz w:val="19"/>
          <w:szCs w:val="19"/>
        </w:rPr>
      </w:pPr>
      <w:r>
        <w:rPr>
          <w:color w:val="2C3E50"/>
          <w:sz w:val="19"/>
          <w:szCs w:val="19"/>
        </w:rPr>
        <w:t xml:space="preserve">Expert bancaire et financier senior avec plus de </w:t>
      </w:r>
      <w:r w:rsidR="00F54A51">
        <w:rPr>
          <w:color w:val="2C3E50"/>
          <w:sz w:val="19"/>
          <w:szCs w:val="19"/>
        </w:rPr>
        <w:t>25</w:t>
      </w:r>
      <w:r>
        <w:rPr>
          <w:color w:val="2C3E50"/>
          <w:sz w:val="19"/>
          <w:szCs w:val="19"/>
        </w:rPr>
        <w:t xml:space="preserve"> ans d'expérience cumulée au sein d'une institution financière internationale de premier plan (Groupe BNP Paribas / Vista Bank). Polyvalent, rigoureux et orienté résultats, j'ai piloté des transformations organisationnelles majeures, des projets de migration de systèmes bancaires (</w:t>
      </w:r>
      <w:proofErr w:type="spellStart"/>
      <w:r>
        <w:rPr>
          <w:color w:val="2C3E50"/>
          <w:sz w:val="19"/>
          <w:szCs w:val="19"/>
        </w:rPr>
        <w:t>Core</w:t>
      </w:r>
      <w:proofErr w:type="spellEnd"/>
      <w:r>
        <w:rPr>
          <w:color w:val="2C3E50"/>
          <w:sz w:val="19"/>
          <w:szCs w:val="19"/>
        </w:rPr>
        <w:t xml:space="preserve"> Banking), des fonctions de conformité (KYC/AML), de contrôle comptable, de gestion des risques crédit et de développement commercial. </w:t>
      </w:r>
    </w:p>
    <w:p w14:paraId="237BCB17" w14:textId="4D20F8E6" w:rsidR="00AC2FAA" w:rsidRDefault="00066E4B" w:rsidP="00071568">
      <w:pPr>
        <w:spacing w:before="100" w:after="80"/>
        <w:ind w:left="-142"/>
        <w:jc w:val="both"/>
      </w:pPr>
      <w:r>
        <w:rPr>
          <w:color w:val="2C3E50"/>
          <w:sz w:val="19"/>
          <w:szCs w:val="19"/>
        </w:rPr>
        <w:t xml:space="preserve">Expérience avérée en renforcement des capacités institutionnelles, formation professionnelle et appui aux acteurs du secteur privé et associatif en Afrique de l'Ouest (UEMOA). Disponible pour des missions de conseil, d'audit organisationnel ou d'expertise technique dans le cadre de programmes de développement </w:t>
      </w:r>
      <w:r w:rsidR="0061283F">
        <w:rPr>
          <w:color w:val="2C3E50"/>
          <w:sz w:val="19"/>
          <w:szCs w:val="19"/>
        </w:rPr>
        <w:t>nationaux et/ou</w:t>
      </w:r>
      <w:r>
        <w:rPr>
          <w:color w:val="2C3E50"/>
          <w:sz w:val="19"/>
          <w:szCs w:val="19"/>
        </w:rPr>
        <w:t xml:space="preserve"> internationaux.</w:t>
      </w:r>
    </w:p>
    <w:p w14:paraId="0C854673" w14:textId="77777777" w:rsidR="00AC2FAA" w:rsidRDefault="00066E4B" w:rsidP="005C7948">
      <w:pPr>
        <w:pBdr>
          <w:bottom w:val="single" w:sz="8" w:space="0" w:color="2E75B6"/>
        </w:pBdr>
        <w:shd w:val="clear" w:color="auto" w:fill="CAEDFB" w:themeFill="accent4" w:themeFillTint="33"/>
        <w:spacing w:before="400" w:after="80"/>
        <w:ind w:left="-142"/>
      </w:pPr>
      <w:r>
        <w:rPr>
          <w:b/>
          <w:bCs/>
          <w:color w:val="1F3864"/>
          <w:sz w:val="22"/>
          <w:szCs w:val="22"/>
        </w:rPr>
        <w:t>DOMAINES D'EXPERTISE &amp; MOTS-CLÉS SECTORIELS</w:t>
      </w:r>
    </w:p>
    <w:p w14:paraId="6FEC6425" w14:textId="77777777" w:rsidR="00AC2FAA" w:rsidRDefault="00AC2FAA">
      <w:pPr>
        <w:spacing w:before="100"/>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3"/>
        <w:gridCol w:w="3260"/>
        <w:gridCol w:w="4252"/>
      </w:tblGrid>
      <w:tr w:rsidR="00AC2FAA" w14:paraId="38CBD17E" w14:textId="77777777" w:rsidTr="002B717F">
        <w:tc>
          <w:tcPr>
            <w:tcW w:w="2693"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5ACACC63" w14:textId="77777777" w:rsidR="00AC2FAA" w:rsidRDefault="00066E4B">
            <w:pPr>
              <w:jc w:val="center"/>
            </w:pPr>
            <w:r>
              <w:rPr>
                <w:b/>
                <w:bCs/>
                <w:color w:val="1F3864"/>
                <w:sz w:val="17"/>
                <w:szCs w:val="17"/>
              </w:rPr>
              <w:t>Transformation bancaire</w:t>
            </w:r>
          </w:p>
        </w:tc>
        <w:tc>
          <w:tcPr>
            <w:tcW w:w="3260"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310FD000" w14:textId="77777777" w:rsidR="00AC2FAA" w:rsidRDefault="00066E4B">
            <w:pPr>
              <w:jc w:val="center"/>
            </w:pPr>
            <w:proofErr w:type="spellStart"/>
            <w:r>
              <w:rPr>
                <w:b/>
                <w:bCs/>
                <w:color w:val="1F3864"/>
                <w:sz w:val="17"/>
                <w:szCs w:val="17"/>
              </w:rPr>
              <w:t>Core</w:t>
            </w:r>
            <w:proofErr w:type="spellEnd"/>
            <w:r>
              <w:rPr>
                <w:b/>
                <w:bCs/>
                <w:color w:val="1F3864"/>
                <w:sz w:val="17"/>
                <w:szCs w:val="17"/>
              </w:rPr>
              <w:t xml:space="preserve"> Banking (T24 / Amplitude)</w:t>
            </w:r>
          </w:p>
        </w:tc>
        <w:tc>
          <w:tcPr>
            <w:tcW w:w="4252"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46AB6844" w14:textId="77777777" w:rsidR="00AC2FAA" w:rsidRDefault="00066E4B">
            <w:pPr>
              <w:jc w:val="center"/>
            </w:pPr>
            <w:r>
              <w:rPr>
                <w:b/>
                <w:bCs/>
                <w:color w:val="1F3864"/>
                <w:sz w:val="17"/>
                <w:szCs w:val="17"/>
              </w:rPr>
              <w:t>Gestion des risques crédit</w:t>
            </w:r>
          </w:p>
        </w:tc>
      </w:tr>
    </w:tbl>
    <w:p w14:paraId="7E30B1FA" w14:textId="77777777" w:rsidR="00AC2FAA" w:rsidRDefault="00AC2FAA">
      <w:pPr>
        <w:spacing w:before="60"/>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3"/>
        <w:gridCol w:w="3260"/>
        <w:gridCol w:w="4252"/>
      </w:tblGrid>
      <w:tr w:rsidR="00AC2FAA" w14:paraId="7ED4B4E3" w14:textId="77777777" w:rsidTr="002B717F">
        <w:tc>
          <w:tcPr>
            <w:tcW w:w="2693"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2D28B08B" w14:textId="77777777" w:rsidR="00AC2FAA" w:rsidRDefault="00066E4B">
            <w:pPr>
              <w:jc w:val="center"/>
            </w:pPr>
            <w:r>
              <w:rPr>
                <w:b/>
                <w:bCs/>
                <w:color w:val="1F3864"/>
                <w:sz w:val="17"/>
                <w:szCs w:val="17"/>
              </w:rPr>
              <w:t>Conformité KYC / AML</w:t>
            </w:r>
          </w:p>
        </w:tc>
        <w:tc>
          <w:tcPr>
            <w:tcW w:w="3260"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0D098D8E" w14:textId="77777777" w:rsidR="00AC2FAA" w:rsidRDefault="00066E4B">
            <w:pPr>
              <w:jc w:val="center"/>
            </w:pPr>
            <w:r>
              <w:rPr>
                <w:b/>
                <w:bCs/>
                <w:color w:val="1F3864"/>
                <w:sz w:val="17"/>
                <w:szCs w:val="17"/>
              </w:rPr>
              <w:t>Contrôle comptable IFRS/SYSCOA</w:t>
            </w:r>
          </w:p>
        </w:tc>
        <w:tc>
          <w:tcPr>
            <w:tcW w:w="4252"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428837E2" w14:textId="77777777" w:rsidR="00AC2FAA" w:rsidRDefault="00066E4B">
            <w:pPr>
              <w:jc w:val="center"/>
            </w:pPr>
            <w:r>
              <w:rPr>
                <w:b/>
                <w:bCs/>
                <w:color w:val="1F3864"/>
                <w:sz w:val="17"/>
                <w:szCs w:val="17"/>
              </w:rPr>
              <w:t>Reporting prudentiel UEMOA/BCEAO</w:t>
            </w:r>
          </w:p>
        </w:tc>
      </w:tr>
    </w:tbl>
    <w:p w14:paraId="412C55DC" w14:textId="77777777" w:rsidR="00AC2FAA" w:rsidRDefault="00AC2FAA">
      <w:pPr>
        <w:spacing w:before="60"/>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3"/>
        <w:gridCol w:w="2268"/>
        <w:gridCol w:w="2976"/>
        <w:gridCol w:w="2268"/>
      </w:tblGrid>
      <w:tr w:rsidR="00F54A51" w14:paraId="26DF65B0" w14:textId="14CB421B" w:rsidTr="002B717F">
        <w:tc>
          <w:tcPr>
            <w:tcW w:w="2693"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5CE6BA41" w14:textId="77777777" w:rsidR="00F54A51" w:rsidRDefault="00F54A51" w:rsidP="00F54A51">
            <w:pPr>
              <w:jc w:val="center"/>
            </w:pPr>
            <w:r>
              <w:rPr>
                <w:b/>
                <w:bCs/>
                <w:color w:val="1F3864"/>
                <w:sz w:val="17"/>
                <w:szCs w:val="17"/>
              </w:rPr>
              <w:t>Développement institutionnel</w:t>
            </w:r>
          </w:p>
        </w:tc>
        <w:tc>
          <w:tcPr>
            <w:tcW w:w="2268"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1A842795" w14:textId="77777777" w:rsidR="00F54A51" w:rsidRDefault="00F54A51" w:rsidP="00F54A51">
            <w:pPr>
              <w:jc w:val="center"/>
            </w:pPr>
            <w:r>
              <w:rPr>
                <w:b/>
                <w:bCs/>
                <w:color w:val="1F3864"/>
                <w:sz w:val="17"/>
                <w:szCs w:val="17"/>
              </w:rPr>
              <w:t>Capacity Building</w:t>
            </w:r>
          </w:p>
        </w:tc>
        <w:tc>
          <w:tcPr>
            <w:tcW w:w="2976"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1E83A0EB" w14:textId="77777777" w:rsidR="002B717F" w:rsidRDefault="00F54A51" w:rsidP="00F54A51">
            <w:pPr>
              <w:jc w:val="center"/>
              <w:rPr>
                <w:b/>
                <w:bCs/>
                <w:color w:val="1F3864"/>
                <w:sz w:val="17"/>
                <w:szCs w:val="17"/>
              </w:rPr>
            </w:pPr>
            <w:r>
              <w:rPr>
                <w:b/>
                <w:bCs/>
                <w:color w:val="1F3864"/>
                <w:sz w:val="17"/>
                <w:szCs w:val="17"/>
              </w:rPr>
              <w:t>Développement commerci</w:t>
            </w:r>
            <w:r w:rsidR="002B717F">
              <w:rPr>
                <w:b/>
                <w:bCs/>
                <w:color w:val="1F3864"/>
                <w:sz w:val="17"/>
                <w:szCs w:val="17"/>
              </w:rPr>
              <w:t>al</w:t>
            </w:r>
            <w:r>
              <w:rPr>
                <w:b/>
                <w:bCs/>
                <w:color w:val="1F3864"/>
                <w:sz w:val="17"/>
                <w:szCs w:val="17"/>
              </w:rPr>
              <w:t xml:space="preserve"> </w:t>
            </w:r>
          </w:p>
          <w:p w14:paraId="5AEF3C0B" w14:textId="63FB3B1E" w:rsidR="00F54A51" w:rsidRDefault="002B717F" w:rsidP="00F54A51">
            <w:pPr>
              <w:jc w:val="center"/>
            </w:pPr>
            <w:r>
              <w:rPr>
                <w:b/>
                <w:bCs/>
                <w:color w:val="1F3864"/>
                <w:sz w:val="17"/>
                <w:szCs w:val="17"/>
              </w:rPr>
              <w:t>Concepts – A</w:t>
            </w:r>
            <w:r w:rsidR="00F54A51">
              <w:rPr>
                <w:b/>
                <w:bCs/>
                <w:color w:val="1F3864"/>
                <w:sz w:val="17"/>
                <w:szCs w:val="17"/>
              </w:rPr>
              <w:t>nimation</w:t>
            </w:r>
            <w:r>
              <w:rPr>
                <w:b/>
                <w:bCs/>
                <w:color w:val="1F3864"/>
                <w:sz w:val="17"/>
                <w:szCs w:val="17"/>
              </w:rPr>
              <w:t xml:space="preserve"> -</w:t>
            </w:r>
            <w:r w:rsidR="00F54A51">
              <w:rPr>
                <w:b/>
                <w:bCs/>
                <w:color w:val="1F3864"/>
                <w:sz w:val="17"/>
                <w:szCs w:val="17"/>
              </w:rPr>
              <w:t xml:space="preserve"> </w:t>
            </w:r>
            <w:r>
              <w:rPr>
                <w:b/>
                <w:bCs/>
                <w:color w:val="1F3864"/>
                <w:sz w:val="17"/>
                <w:szCs w:val="17"/>
              </w:rPr>
              <w:t>Pilotage</w:t>
            </w:r>
            <w:r w:rsidR="00F54A51">
              <w:rPr>
                <w:b/>
                <w:bCs/>
                <w:color w:val="1F3864"/>
                <w:sz w:val="17"/>
                <w:szCs w:val="17"/>
              </w:rPr>
              <w:t xml:space="preserve"> </w:t>
            </w:r>
          </w:p>
        </w:tc>
        <w:tc>
          <w:tcPr>
            <w:tcW w:w="2268" w:type="dxa"/>
            <w:tcBorders>
              <w:top w:val="single" w:sz="1" w:space="0" w:color="2E75B6"/>
              <w:left w:val="single" w:sz="1" w:space="0" w:color="2E75B6"/>
              <w:bottom w:val="single" w:sz="1" w:space="0" w:color="2E75B6"/>
              <w:right w:val="single" w:sz="1" w:space="0" w:color="2E75B6"/>
            </w:tcBorders>
            <w:shd w:val="clear" w:color="auto" w:fill="EBF5FB"/>
          </w:tcPr>
          <w:p w14:paraId="54B3C9FE" w14:textId="68AE3FD8" w:rsidR="00F54A51" w:rsidRDefault="00F54A51" w:rsidP="00F54A51">
            <w:pPr>
              <w:jc w:val="center"/>
              <w:rPr>
                <w:b/>
                <w:bCs/>
                <w:color w:val="1F3864"/>
                <w:sz w:val="17"/>
                <w:szCs w:val="17"/>
              </w:rPr>
            </w:pPr>
            <w:r>
              <w:rPr>
                <w:b/>
                <w:bCs/>
                <w:color w:val="1F3864"/>
                <w:sz w:val="17"/>
                <w:szCs w:val="17"/>
              </w:rPr>
              <w:t>Project Management (PMO)</w:t>
            </w:r>
          </w:p>
        </w:tc>
      </w:tr>
    </w:tbl>
    <w:p w14:paraId="634CD5CB" w14:textId="77777777" w:rsidR="00AC2FAA" w:rsidRDefault="00AC2FAA">
      <w:pPr>
        <w:spacing w:before="60"/>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2378"/>
        <w:gridCol w:w="2410"/>
        <w:gridCol w:w="2410"/>
      </w:tblGrid>
      <w:tr w:rsidR="002B717F" w14:paraId="490A7CD8" w14:textId="2C41F3AA" w:rsidTr="002B717F">
        <w:tc>
          <w:tcPr>
            <w:tcW w:w="3008"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15B2CA2E" w14:textId="77777777" w:rsidR="002B717F" w:rsidRDefault="002B717F" w:rsidP="002B717F">
            <w:pPr>
              <w:jc w:val="center"/>
            </w:pPr>
            <w:r>
              <w:rPr>
                <w:b/>
                <w:bCs/>
                <w:color w:val="1F3864"/>
                <w:sz w:val="17"/>
                <w:szCs w:val="17"/>
              </w:rPr>
              <w:t>Garanties internationales (ISO)</w:t>
            </w:r>
          </w:p>
        </w:tc>
        <w:tc>
          <w:tcPr>
            <w:tcW w:w="2378"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0702FCBD" w14:textId="171B0164" w:rsidR="002B717F" w:rsidRDefault="002B717F" w:rsidP="002B717F">
            <w:pPr>
              <w:jc w:val="center"/>
            </w:pPr>
            <w:r>
              <w:rPr>
                <w:b/>
                <w:bCs/>
                <w:color w:val="1F3864"/>
                <w:sz w:val="17"/>
                <w:szCs w:val="17"/>
              </w:rPr>
              <w:t>Gestion des suretés</w:t>
            </w:r>
          </w:p>
        </w:tc>
        <w:tc>
          <w:tcPr>
            <w:tcW w:w="2410" w:type="dxa"/>
            <w:tcBorders>
              <w:top w:val="single" w:sz="1" w:space="0" w:color="2E75B6"/>
              <w:left w:val="single" w:sz="1" w:space="0" w:color="2E75B6"/>
              <w:bottom w:val="single" w:sz="1" w:space="0" w:color="2E75B6"/>
              <w:right w:val="single" w:sz="1" w:space="0" w:color="2E75B6"/>
            </w:tcBorders>
            <w:shd w:val="clear" w:color="auto" w:fill="EBF5FB"/>
            <w:tcMar>
              <w:top w:w="80" w:type="dxa"/>
              <w:left w:w="120" w:type="dxa"/>
              <w:bottom w:w="80" w:type="dxa"/>
              <w:right w:w="120" w:type="dxa"/>
            </w:tcMar>
          </w:tcPr>
          <w:p w14:paraId="18A690B7" w14:textId="6FD400C1" w:rsidR="002B717F" w:rsidRDefault="002B717F" w:rsidP="002B717F">
            <w:pPr>
              <w:jc w:val="center"/>
            </w:pPr>
            <w:r>
              <w:rPr>
                <w:b/>
                <w:bCs/>
                <w:color w:val="1F3864"/>
                <w:sz w:val="17"/>
                <w:szCs w:val="17"/>
              </w:rPr>
              <w:t>Financement des PME</w:t>
            </w:r>
          </w:p>
        </w:tc>
        <w:tc>
          <w:tcPr>
            <w:tcW w:w="2410" w:type="dxa"/>
            <w:tcBorders>
              <w:top w:val="single" w:sz="1" w:space="0" w:color="2E75B6"/>
              <w:left w:val="single" w:sz="1" w:space="0" w:color="2E75B6"/>
              <w:bottom w:val="single" w:sz="1" w:space="0" w:color="2E75B6"/>
              <w:right w:val="single" w:sz="1" w:space="0" w:color="2E75B6"/>
            </w:tcBorders>
            <w:shd w:val="clear" w:color="auto" w:fill="EBF5FB"/>
          </w:tcPr>
          <w:p w14:paraId="792D835E" w14:textId="40C46B30" w:rsidR="002B717F" w:rsidRDefault="002B717F" w:rsidP="002B717F">
            <w:pPr>
              <w:jc w:val="center"/>
              <w:rPr>
                <w:b/>
                <w:bCs/>
                <w:color w:val="1F3864"/>
                <w:sz w:val="17"/>
                <w:szCs w:val="17"/>
              </w:rPr>
            </w:pPr>
            <w:r>
              <w:rPr>
                <w:b/>
                <w:bCs/>
                <w:color w:val="1F3864"/>
                <w:sz w:val="17"/>
                <w:szCs w:val="17"/>
              </w:rPr>
              <w:t>Back-office bancaire</w:t>
            </w:r>
          </w:p>
        </w:tc>
      </w:tr>
    </w:tbl>
    <w:p w14:paraId="3264456F" w14:textId="77777777" w:rsidR="00AC2FAA" w:rsidRDefault="00AC2FAA" w:rsidP="00180F2B">
      <w:pPr>
        <w:spacing w:before="120"/>
      </w:pPr>
    </w:p>
    <w:p w14:paraId="4BC87A6E" w14:textId="77777777" w:rsidR="00AC2FAA" w:rsidRDefault="00066E4B" w:rsidP="00180F2B">
      <w:pPr>
        <w:pBdr>
          <w:bottom w:val="single" w:sz="8" w:space="0" w:color="2E75B6"/>
        </w:pBdr>
        <w:shd w:val="clear" w:color="auto" w:fill="CAEDFB" w:themeFill="accent4" w:themeFillTint="33"/>
        <w:spacing w:before="200" w:after="80"/>
        <w:ind w:left="-142"/>
      </w:pPr>
      <w:r>
        <w:rPr>
          <w:b/>
          <w:bCs/>
          <w:color w:val="1F3864"/>
          <w:sz w:val="22"/>
          <w:szCs w:val="22"/>
        </w:rPr>
        <w:t>EXPÉRIENCE PROFESSIONNELLE</w:t>
      </w:r>
    </w:p>
    <w:p w14:paraId="650DB642" w14:textId="77777777" w:rsidR="00AC2FAA" w:rsidRDefault="00066E4B" w:rsidP="00071568">
      <w:pPr>
        <w:tabs>
          <w:tab w:val="right" w:pos="9026"/>
        </w:tabs>
        <w:spacing w:before="240" w:after="30"/>
      </w:pPr>
      <w:r>
        <w:rPr>
          <w:b/>
          <w:bCs/>
          <w:color w:val="2E75B6"/>
          <w:sz w:val="21"/>
          <w:szCs w:val="21"/>
        </w:rPr>
        <w:t xml:space="preserve">Project Management Officer (PMO) – Migration </w:t>
      </w:r>
      <w:proofErr w:type="spellStart"/>
      <w:r>
        <w:rPr>
          <w:b/>
          <w:bCs/>
          <w:color w:val="2E75B6"/>
          <w:sz w:val="21"/>
          <w:szCs w:val="21"/>
        </w:rPr>
        <w:t>Core</w:t>
      </w:r>
      <w:proofErr w:type="spellEnd"/>
      <w:r>
        <w:rPr>
          <w:b/>
          <w:bCs/>
          <w:color w:val="2E75B6"/>
          <w:sz w:val="21"/>
          <w:szCs w:val="21"/>
        </w:rPr>
        <w:t xml:space="preserve"> Banking</w:t>
      </w:r>
      <w:r>
        <w:rPr>
          <w:i/>
          <w:iCs/>
          <w:color w:val="5A6A7A"/>
          <w:sz w:val="18"/>
          <w:szCs w:val="18"/>
        </w:rPr>
        <w:tab/>
        <w:t>Depuis Nov. 2024</w:t>
      </w:r>
    </w:p>
    <w:p w14:paraId="5A15FC2F" w14:textId="77777777" w:rsidR="00AC2FAA" w:rsidRDefault="00066E4B">
      <w:pPr>
        <w:spacing w:after="60"/>
      </w:pPr>
      <w:r>
        <w:rPr>
          <w:b/>
          <w:bCs/>
          <w:color w:val="1F3864"/>
          <w:sz w:val="19"/>
          <w:szCs w:val="19"/>
        </w:rPr>
        <w:t>VISTA BANK BURKINA (VBB) | Groupe Vista Holding | Ex-BICIAB Groupe BNP Paribas</w:t>
      </w:r>
    </w:p>
    <w:p w14:paraId="18787ABB" w14:textId="77777777" w:rsidR="00AC2FAA" w:rsidRDefault="00066E4B" w:rsidP="005C7948">
      <w:pPr>
        <w:pStyle w:val="Paragraphedeliste"/>
        <w:numPr>
          <w:ilvl w:val="0"/>
          <w:numId w:val="2"/>
        </w:numPr>
        <w:spacing w:before="120" w:after="40"/>
        <w:ind w:left="522" w:hanging="261"/>
        <w:jc w:val="both"/>
      </w:pPr>
      <w:r>
        <w:rPr>
          <w:sz w:val="19"/>
          <w:szCs w:val="19"/>
        </w:rPr>
        <w:t>Pilotage de la migration du système bancaire central de Temenos T24 vers Amplitude UP, projet structurant à fort enjeu opérationnel et réglementaire.</w:t>
      </w:r>
    </w:p>
    <w:p w14:paraId="610921BC" w14:textId="77777777" w:rsidR="00AC2FAA" w:rsidRDefault="00066E4B" w:rsidP="005C7948">
      <w:pPr>
        <w:pStyle w:val="Paragraphedeliste"/>
        <w:numPr>
          <w:ilvl w:val="0"/>
          <w:numId w:val="2"/>
        </w:numPr>
        <w:spacing w:before="120" w:after="40"/>
        <w:ind w:left="522" w:hanging="261"/>
        <w:jc w:val="both"/>
      </w:pPr>
      <w:r>
        <w:rPr>
          <w:sz w:val="19"/>
          <w:szCs w:val="19"/>
        </w:rPr>
        <w:t>Coordination transversale de toutes les parties prenantes internes (DSI, métiers, compliance) et du prestataire externe pour garantir la continuité de service.</w:t>
      </w:r>
    </w:p>
    <w:p w14:paraId="36602647" w14:textId="77777777" w:rsidR="00AC2FAA" w:rsidRDefault="00066E4B" w:rsidP="005C7948">
      <w:pPr>
        <w:pStyle w:val="Paragraphedeliste"/>
        <w:numPr>
          <w:ilvl w:val="0"/>
          <w:numId w:val="2"/>
        </w:numPr>
        <w:spacing w:before="120" w:after="40"/>
        <w:ind w:left="522" w:hanging="261"/>
        <w:jc w:val="both"/>
      </w:pPr>
      <w:r>
        <w:rPr>
          <w:sz w:val="19"/>
          <w:szCs w:val="19"/>
        </w:rPr>
        <w:t>Élaboration et suivi du plan projet : périmètre, jalons, risques, reporting à la Direction Générale.</w:t>
      </w:r>
    </w:p>
    <w:p w14:paraId="21A94ABC" w14:textId="77777777" w:rsidR="00AC2FAA" w:rsidRDefault="00066E4B" w:rsidP="00071568">
      <w:pPr>
        <w:tabs>
          <w:tab w:val="right" w:pos="9026"/>
        </w:tabs>
        <w:spacing w:before="240" w:after="30"/>
      </w:pPr>
      <w:r>
        <w:rPr>
          <w:b/>
          <w:bCs/>
          <w:color w:val="2E75B6"/>
          <w:sz w:val="21"/>
          <w:szCs w:val="21"/>
        </w:rPr>
        <w:t>Responsable Back-Office Financement</w:t>
      </w:r>
      <w:r>
        <w:rPr>
          <w:i/>
          <w:iCs/>
          <w:color w:val="5A6A7A"/>
          <w:sz w:val="18"/>
          <w:szCs w:val="18"/>
        </w:rPr>
        <w:tab/>
        <w:t xml:space="preserve">Fév. 2018 – Oct. </w:t>
      </w:r>
      <w:proofErr w:type="gramStart"/>
      <w:r>
        <w:rPr>
          <w:i/>
          <w:iCs/>
          <w:color w:val="5A6A7A"/>
          <w:sz w:val="18"/>
          <w:szCs w:val="18"/>
        </w:rPr>
        <w:t>2024  (</w:t>
      </w:r>
      <w:proofErr w:type="gramEnd"/>
      <w:r>
        <w:rPr>
          <w:i/>
          <w:iCs/>
          <w:color w:val="5A6A7A"/>
          <w:sz w:val="18"/>
          <w:szCs w:val="18"/>
        </w:rPr>
        <w:t>6 ans)</w:t>
      </w:r>
    </w:p>
    <w:p w14:paraId="76A4D913" w14:textId="77777777" w:rsidR="00AC2FAA" w:rsidRDefault="00066E4B">
      <w:pPr>
        <w:spacing w:after="60"/>
      </w:pPr>
      <w:r>
        <w:rPr>
          <w:b/>
          <w:bCs/>
          <w:color w:val="1F3864"/>
          <w:sz w:val="19"/>
          <w:szCs w:val="19"/>
        </w:rPr>
        <w:t>VISTA BANK BURKINA (VBB)</w:t>
      </w:r>
    </w:p>
    <w:p w14:paraId="3543C519" w14:textId="77777777" w:rsidR="00C85BE3" w:rsidRPr="00C85BE3" w:rsidRDefault="00C85BE3" w:rsidP="00C85BE3">
      <w:pPr>
        <w:pStyle w:val="Paragraphedeliste"/>
        <w:numPr>
          <w:ilvl w:val="0"/>
          <w:numId w:val="2"/>
        </w:numPr>
        <w:rPr>
          <w:sz w:val="19"/>
          <w:szCs w:val="19"/>
        </w:rPr>
      </w:pPr>
      <w:r w:rsidRPr="00C85BE3">
        <w:rPr>
          <w:sz w:val="19"/>
          <w:szCs w:val="19"/>
        </w:rPr>
        <w:t xml:space="preserve">Direction opérationnelle de 7 services : Crédits, Engagements par Signature (EPS), Garanties Internationales (certifiées ISO), Contentieux Civil (ATD), Successions, Ouverture Modification Clôture des compte (OMC), Know </w:t>
      </w:r>
      <w:proofErr w:type="spellStart"/>
      <w:r w:rsidRPr="00C85BE3">
        <w:rPr>
          <w:sz w:val="19"/>
          <w:szCs w:val="19"/>
        </w:rPr>
        <w:t>Your</w:t>
      </w:r>
      <w:proofErr w:type="spellEnd"/>
      <w:r w:rsidRPr="00C85BE3">
        <w:rPr>
          <w:sz w:val="19"/>
          <w:szCs w:val="19"/>
        </w:rPr>
        <w:t xml:space="preserve"> </w:t>
      </w:r>
      <w:proofErr w:type="gramStart"/>
      <w:r w:rsidRPr="00C85BE3">
        <w:rPr>
          <w:sz w:val="19"/>
          <w:szCs w:val="19"/>
        </w:rPr>
        <w:t>Customer(</w:t>
      </w:r>
      <w:proofErr w:type="gramEnd"/>
      <w:r w:rsidRPr="00C85BE3">
        <w:rPr>
          <w:sz w:val="19"/>
          <w:szCs w:val="19"/>
        </w:rPr>
        <w:t xml:space="preserve">KYC) Connaître Son Client, Anti-Money </w:t>
      </w:r>
      <w:proofErr w:type="spellStart"/>
      <w:r w:rsidRPr="00C85BE3">
        <w:rPr>
          <w:sz w:val="19"/>
          <w:szCs w:val="19"/>
        </w:rPr>
        <w:t>Laundering</w:t>
      </w:r>
      <w:proofErr w:type="spellEnd"/>
      <w:r w:rsidRPr="00C85BE3">
        <w:rPr>
          <w:sz w:val="19"/>
          <w:szCs w:val="19"/>
        </w:rPr>
        <w:t xml:space="preserve"> (AML) Lutte Contre le blanchiment d’argent.</w:t>
      </w:r>
    </w:p>
    <w:p w14:paraId="6C77846D" w14:textId="2773284C" w:rsidR="00FA45C3" w:rsidRDefault="00FA45C3" w:rsidP="00FA45C3">
      <w:pPr>
        <w:pStyle w:val="Paragraphedeliste"/>
        <w:numPr>
          <w:ilvl w:val="0"/>
          <w:numId w:val="2"/>
        </w:numPr>
        <w:spacing w:before="120" w:after="40"/>
        <w:ind w:left="522" w:hanging="261"/>
        <w:jc w:val="both"/>
      </w:pPr>
      <w:r>
        <w:rPr>
          <w:sz w:val="19"/>
          <w:szCs w:val="19"/>
        </w:rPr>
        <w:t xml:space="preserve">Optimisation des processus de production crédit (tous types : </w:t>
      </w:r>
      <w:proofErr w:type="spellStart"/>
      <w:r>
        <w:rPr>
          <w:sz w:val="19"/>
          <w:szCs w:val="19"/>
        </w:rPr>
        <w:t>retail</w:t>
      </w:r>
      <w:proofErr w:type="spellEnd"/>
      <w:r>
        <w:rPr>
          <w:sz w:val="19"/>
          <w:szCs w:val="19"/>
        </w:rPr>
        <w:t xml:space="preserve">, corporate, </w:t>
      </w:r>
      <w:proofErr w:type="spellStart"/>
      <w:r>
        <w:rPr>
          <w:sz w:val="19"/>
          <w:szCs w:val="19"/>
        </w:rPr>
        <w:t>trade</w:t>
      </w:r>
      <w:proofErr w:type="spellEnd"/>
      <w:r>
        <w:rPr>
          <w:sz w:val="19"/>
          <w:szCs w:val="19"/>
        </w:rPr>
        <w:t xml:space="preserve"> finance) - réduction des délais de traitement. </w:t>
      </w:r>
    </w:p>
    <w:p w14:paraId="402046F4" w14:textId="77777777" w:rsidR="00FA45C3" w:rsidRDefault="00FA45C3" w:rsidP="00FA45C3">
      <w:pPr>
        <w:pStyle w:val="Paragraphedeliste"/>
        <w:numPr>
          <w:ilvl w:val="0"/>
          <w:numId w:val="2"/>
        </w:numPr>
        <w:spacing w:before="120" w:after="40"/>
        <w:ind w:left="522" w:hanging="261"/>
        <w:jc w:val="both"/>
      </w:pPr>
      <w:r>
        <w:rPr>
          <w:sz w:val="19"/>
          <w:szCs w:val="19"/>
        </w:rPr>
        <w:t>Supervision de la conformité KYC/AML : ouvertures, modifications et révisions de comptes clients, conformément aux exigences réglementaires BCEAO et UEMOA.</w:t>
      </w:r>
    </w:p>
    <w:p w14:paraId="314ED423" w14:textId="77777777" w:rsidR="00FA45C3" w:rsidRDefault="00FA45C3" w:rsidP="00FA45C3">
      <w:pPr>
        <w:pStyle w:val="Paragraphedeliste"/>
        <w:numPr>
          <w:ilvl w:val="0"/>
          <w:numId w:val="2"/>
        </w:numPr>
        <w:spacing w:before="120" w:after="40"/>
        <w:ind w:left="522" w:hanging="261"/>
        <w:jc w:val="both"/>
      </w:pPr>
      <w:r>
        <w:rPr>
          <w:sz w:val="19"/>
          <w:szCs w:val="19"/>
        </w:rPr>
        <w:t>Pilotage de l'inventaire physique exhaustif des garanties de la banque – première opération du genre dans l'institution.</w:t>
      </w:r>
    </w:p>
    <w:p w14:paraId="382CFFDB" w14:textId="77777777" w:rsidR="00FA45C3" w:rsidRDefault="00FA45C3" w:rsidP="00FA45C3">
      <w:pPr>
        <w:pStyle w:val="Paragraphedeliste"/>
        <w:numPr>
          <w:ilvl w:val="0"/>
          <w:numId w:val="2"/>
        </w:numPr>
        <w:spacing w:before="120" w:after="40"/>
        <w:ind w:left="522" w:hanging="261"/>
        <w:jc w:val="both"/>
      </w:pPr>
      <w:r>
        <w:rPr>
          <w:sz w:val="19"/>
          <w:szCs w:val="19"/>
        </w:rPr>
        <w:t>Encadrement et formation des équipes opérationnelles et commerciaux (CCP) en immersion métier.</w:t>
      </w:r>
    </w:p>
    <w:p w14:paraId="200F1C24" w14:textId="0830C84D" w:rsidR="00AC2FAA" w:rsidRDefault="00066E4B">
      <w:pPr>
        <w:tabs>
          <w:tab w:val="right" w:pos="9026"/>
        </w:tabs>
        <w:spacing w:before="160" w:after="30"/>
      </w:pPr>
      <w:r>
        <w:rPr>
          <w:b/>
          <w:bCs/>
          <w:color w:val="2E75B6"/>
          <w:sz w:val="21"/>
          <w:szCs w:val="21"/>
        </w:rPr>
        <w:t>Responsable Normes &amp; Contrôles Comptables</w:t>
      </w:r>
      <w:r>
        <w:rPr>
          <w:i/>
          <w:iCs/>
          <w:color w:val="5A6A7A"/>
          <w:sz w:val="18"/>
          <w:szCs w:val="18"/>
        </w:rPr>
        <w:tab/>
      </w:r>
      <w:proofErr w:type="gramStart"/>
      <w:r>
        <w:rPr>
          <w:i/>
          <w:iCs/>
          <w:color w:val="5A6A7A"/>
          <w:sz w:val="18"/>
          <w:szCs w:val="18"/>
        </w:rPr>
        <w:t>Mai</w:t>
      </w:r>
      <w:proofErr w:type="gramEnd"/>
      <w:r>
        <w:rPr>
          <w:i/>
          <w:iCs/>
          <w:color w:val="5A6A7A"/>
          <w:sz w:val="18"/>
          <w:szCs w:val="18"/>
        </w:rPr>
        <w:t xml:space="preserve"> 2014 – Jan. </w:t>
      </w:r>
      <w:proofErr w:type="gramStart"/>
      <w:r>
        <w:rPr>
          <w:i/>
          <w:iCs/>
          <w:color w:val="5A6A7A"/>
          <w:sz w:val="18"/>
          <w:szCs w:val="18"/>
        </w:rPr>
        <w:t>2018  (</w:t>
      </w:r>
      <w:proofErr w:type="gramEnd"/>
      <w:r>
        <w:rPr>
          <w:i/>
          <w:iCs/>
          <w:color w:val="5A6A7A"/>
          <w:sz w:val="18"/>
          <w:szCs w:val="18"/>
        </w:rPr>
        <w:t>4 ans)</w:t>
      </w:r>
    </w:p>
    <w:p w14:paraId="7EB74261" w14:textId="77777777" w:rsidR="00AC2FAA" w:rsidRDefault="00066E4B">
      <w:pPr>
        <w:spacing w:after="60"/>
      </w:pPr>
      <w:r>
        <w:rPr>
          <w:b/>
          <w:bCs/>
          <w:color w:val="1F3864"/>
          <w:sz w:val="19"/>
          <w:szCs w:val="19"/>
        </w:rPr>
        <w:t>BICIAB – Département Finance / Contrôle Comptable &amp; Reporting</w:t>
      </w:r>
    </w:p>
    <w:p w14:paraId="577A7102" w14:textId="77777777" w:rsidR="00AC2FAA" w:rsidRDefault="00066E4B" w:rsidP="00180F2B">
      <w:pPr>
        <w:pStyle w:val="Paragraphedeliste"/>
        <w:numPr>
          <w:ilvl w:val="0"/>
          <w:numId w:val="2"/>
        </w:numPr>
        <w:spacing w:before="120" w:after="40"/>
        <w:ind w:left="142" w:right="196" w:hanging="261"/>
        <w:jc w:val="both"/>
      </w:pPr>
      <w:r>
        <w:rPr>
          <w:sz w:val="19"/>
          <w:szCs w:val="19"/>
        </w:rPr>
        <w:lastRenderedPageBreak/>
        <w:t>Mise en place du cadre applicatif du contrôle comptable : Charte, Plan de contrôle, Normes à minima, Points de Surveillance Fondamentaux (PSF).</w:t>
      </w:r>
    </w:p>
    <w:p w14:paraId="0F4E379D" w14:textId="77777777" w:rsidR="00AC2FAA" w:rsidRDefault="00066E4B" w:rsidP="00180F2B">
      <w:pPr>
        <w:pStyle w:val="Paragraphedeliste"/>
        <w:numPr>
          <w:ilvl w:val="0"/>
          <w:numId w:val="2"/>
        </w:numPr>
        <w:spacing w:before="40" w:after="40"/>
        <w:ind w:left="142" w:right="196"/>
        <w:jc w:val="both"/>
      </w:pPr>
      <w:r>
        <w:rPr>
          <w:sz w:val="19"/>
          <w:szCs w:val="19"/>
        </w:rPr>
        <w:t>Organisation et conduite des premiers Comités de Santé Comptable de l'institution.</w:t>
      </w:r>
    </w:p>
    <w:p w14:paraId="46B84C5D" w14:textId="77777777" w:rsidR="00AC2FAA" w:rsidRDefault="00066E4B" w:rsidP="00180F2B">
      <w:pPr>
        <w:pStyle w:val="Paragraphedeliste"/>
        <w:numPr>
          <w:ilvl w:val="0"/>
          <w:numId w:val="2"/>
        </w:numPr>
        <w:spacing w:before="40" w:after="40"/>
        <w:ind w:left="142" w:right="196"/>
        <w:jc w:val="both"/>
      </w:pPr>
      <w:r>
        <w:rPr>
          <w:sz w:val="19"/>
          <w:szCs w:val="19"/>
        </w:rPr>
        <w:t>Conseil stratégique auprès de la CFO (Directrice Comptable) sur les risques comptables, les normes SYSCOA/OHADA et les ratios prudentiels BCEAO.</w:t>
      </w:r>
    </w:p>
    <w:p w14:paraId="27566CD2" w14:textId="77777777" w:rsidR="00AC2FAA" w:rsidRDefault="00066E4B" w:rsidP="00180F2B">
      <w:pPr>
        <w:pStyle w:val="Paragraphedeliste"/>
        <w:numPr>
          <w:ilvl w:val="0"/>
          <w:numId w:val="2"/>
        </w:numPr>
        <w:spacing w:before="40" w:after="40"/>
        <w:ind w:left="142" w:right="196"/>
        <w:jc w:val="both"/>
      </w:pPr>
      <w:r>
        <w:rPr>
          <w:sz w:val="19"/>
          <w:szCs w:val="19"/>
        </w:rPr>
        <w:t>Pilotage de la relation avec les régulateurs : auditeurs externes, administrations fiscales, commissaires aux comptes.</w:t>
      </w:r>
    </w:p>
    <w:p w14:paraId="39997062" w14:textId="77777777" w:rsidR="00AC2FAA" w:rsidRDefault="00066E4B">
      <w:pPr>
        <w:tabs>
          <w:tab w:val="right" w:pos="9026"/>
        </w:tabs>
        <w:spacing w:before="160" w:after="30"/>
      </w:pPr>
      <w:r>
        <w:rPr>
          <w:b/>
          <w:bCs/>
          <w:color w:val="2E75B6"/>
          <w:sz w:val="21"/>
          <w:szCs w:val="21"/>
        </w:rPr>
        <w:t>Chargé de Surveillance des Risques Crédit (CSR)</w:t>
      </w:r>
      <w:r>
        <w:rPr>
          <w:i/>
          <w:iCs/>
          <w:color w:val="5A6A7A"/>
          <w:sz w:val="18"/>
          <w:szCs w:val="18"/>
        </w:rPr>
        <w:tab/>
        <w:t>Avr. 2013 – Avr. 2014</w:t>
      </w:r>
    </w:p>
    <w:p w14:paraId="4E792D00" w14:textId="77777777" w:rsidR="00AC2FAA" w:rsidRDefault="00066E4B">
      <w:pPr>
        <w:spacing w:after="60"/>
      </w:pPr>
      <w:r>
        <w:rPr>
          <w:b/>
          <w:bCs/>
          <w:color w:val="1F3864"/>
          <w:sz w:val="19"/>
          <w:szCs w:val="19"/>
        </w:rPr>
        <w:t>BICIAB – Cellule Surveillance Risques Crédits, Direction Générale</w:t>
      </w:r>
    </w:p>
    <w:p w14:paraId="19C04B32" w14:textId="77777777" w:rsidR="00AC2FAA" w:rsidRDefault="00066E4B" w:rsidP="00180F2B">
      <w:pPr>
        <w:pStyle w:val="Paragraphedeliste"/>
        <w:numPr>
          <w:ilvl w:val="0"/>
          <w:numId w:val="2"/>
        </w:numPr>
        <w:spacing w:before="40" w:after="40"/>
        <w:ind w:left="142" w:right="196"/>
        <w:jc w:val="both"/>
      </w:pPr>
      <w:r>
        <w:rPr>
          <w:sz w:val="19"/>
          <w:szCs w:val="19"/>
        </w:rPr>
        <w:t>Analyse et surveillance du portefeuille de crédits, identification des expositions sensibles et reporting à la Direction Générale.</w:t>
      </w:r>
    </w:p>
    <w:p w14:paraId="011169C0" w14:textId="77777777" w:rsidR="00AC2FAA" w:rsidRDefault="00066E4B" w:rsidP="00180F2B">
      <w:pPr>
        <w:pStyle w:val="Paragraphedeliste"/>
        <w:numPr>
          <w:ilvl w:val="0"/>
          <w:numId w:val="2"/>
        </w:numPr>
        <w:spacing w:before="40" w:after="40"/>
        <w:ind w:left="142" w:right="196"/>
        <w:jc w:val="both"/>
      </w:pPr>
      <w:r>
        <w:rPr>
          <w:sz w:val="19"/>
          <w:szCs w:val="19"/>
        </w:rPr>
        <w:t>Contribution aux travaux de cartographie des risques crédit et à la mise en place d'outils de suivi prospectif.</w:t>
      </w:r>
    </w:p>
    <w:p w14:paraId="1412A127" w14:textId="77777777" w:rsidR="00AC2FAA" w:rsidRDefault="00066E4B">
      <w:pPr>
        <w:tabs>
          <w:tab w:val="right" w:pos="9026"/>
        </w:tabs>
        <w:spacing w:before="160" w:after="30"/>
      </w:pPr>
      <w:r>
        <w:rPr>
          <w:b/>
          <w:bCs/>
          <w:color w:val="2E75B6"/>
          <w:sz w:val="21"/>
          <w:szCs w:val="21"/>
        </w:rPr>
        <w:t>Directeur Adjoint – Département Clientèle Particuliers &amp; Professionnels</w:t>
      </w:r>
      <w:r>
        <w:rPr>
          <w:i/>
          <w:iCs/>
          <w:color w:val="5A6A7A"/>
          <w:sz w:val="18"/>
          <w:szCs w:val="18"/>
        </w:rPr>
        <w:tab/>
        <w:t xml:space="preserve">Jan. 2005 – Avr. </w:t>
      </w:r>
      <w:proofErr w:type="gramStart"/>
      <w:r>
        <w:rPr>
          <w:i/>
          <w:iCs/>
          <w:color w:val="5A6A7A"/>
          <w:sz w:val="18"/>
          <w:szCs w:val="18"/>
        </w:rPr>
        <w:t>2013  (</w:t>
      </w:r>
      <w:proofErr w:type="gramEnd"/>
      <w:r>
        <w:rPr>
          <w:i/>
          <w:iCs/>
          <w:color w:val="5A6A7A"/>
          <w:sz w:val="18"/>
          <w:szCs w:val="18"/>
        </w:rPr>
        <w:t>8 ans)</w:t>
      </w:r>
    </w:p>
    <w:p w14:paraId="29BD03B4" w14:textId="77777777" w:rsidR="00AC2FAA" w:rsidRDefault="00066E4B">
      <w:pPr>
        <w:spacing w:after="60"/>
      </w:pPr>
      <w:r>
        <w:rPr>
          <w:b/>
          <w:bCs/>
          <w:color w:val="1F3864"/>
          <w:sz w:val="19"/>
          <w:szCs w:val="19"/>
        </w:rPr>
        <w:t>BICIAB – Réseau Commercial</w:t>
      </w:r>
    </w:p>
    <w:p w14:paraId="5343C7A6" w14:textId="77777777" w:rsidR="00AC2FAA" w:rsidRDefault="00066E4B" w:rsidP="00180F2B">
      <w:pPr>
        <w:pStyle w:val="Paragraphedeliste"/>
        <w:numPr>
          <w:ilvl w:val="0"/>
          <w:numId w:val="2"/>
        </w:numPr>
        <w:spacing w:before="40" w:after="40"/>
        <w:ind w:left="142" w:right="196"/>
        <w:jc w:val="both"/>
      </w:pPr>
      <w:r>
        <w:rPr>
          <w:sz w:val="19"/>
          <w:szCs w:val="19"/>
        </w:rPr>
        <w:t>Direction de l'agence de Gounghin (2007–2010) : management d'équipe, développement du fonds de commerce, atteinte des objectifs commerciaux.</w:t>
      </w:r>
    </w:p>
    <w:p w14:paraId="6A4F16C9" w14:textId="77777777" w:rsidR="00AC2FAA" w:rsidRDefault="00066E4B" w:rsidP="00180F2B">
      <w:pPr>
        <w:pStyle w:val="Paragraphedeliste"/>
        <w:numPr>
          <w:ilvl w:val="0"/>
          <w:numId w:val="2"/>
        </w:numPr>
        <w:spacing w:before="40" w:after="40"/>
        <w:ind w:left="142" w:right="196"/>
        <w:jc w:val="both"/>
      </w:pPr>
      <w:r>
        <w:rPr>
          <w:sz w:val="19"/>
          <w:szCs w:val="19"/>
        </w:rPr>
        <w:t>Responsable de la négociation amiable (2005–2006) : traitement des créances sensibles et restructuration des dettes en difficulté.</w:t>
      </w:r>
    </w:p>
    <w:p w14:paraId="772A1FB1" w14:textId="77777777" w:rsidR="00AC2FAA" w:rsidRDefault="00066E4B" w:rsidP="00180F2B">
      <w:pPr>
        <w:pStyle w:val="Paragraphedeliste"/>
        <w:numPr>
          <w:ilvl w:val="0"/>
          <w:numId w:val="2"/>
        </w:numPr>
        <w:spacing w:before="40" w:after="40"/>
        <w:ind w:left="142" w:right="196"/>
        <w:jc w:val="both"/>
      </w:pPr>
      <w:r>
        <w:rPr>
          <w:sz w:val="19"/>
          <w:szCs w:val="19"/>
        </w:rPr>
        <w:t>Développement de partenariats institutionnels avec des grandes écoles de la fonction publique (ENAM, IDS, INJEPS) : protocoles d'accord générant +5 000 nouvelles relations client (EER).</w:t>
      </w:r>
    </w:p>
    <w:p w14:paraId="260EC11D" w14:textId="77777777" w:rsidR="00AC2FAA" w:rsidRDefault="00066E4B" w:rsidP="00180F2B">
      <w:pPr>
        <w:pStyle w:val="Paragraphedeliste"/>
        <w:numPr>
          <w:ilvl w:val="0"/>
          <w:numId w:val="2"/>
        </w:numPr>
        <w:spacing w:before="40" w:after="40"/>
        <w:ind w:left="142" w:right="196"/>
        <w:jc w:val="both"/>
      </w:pPr>
      <w:r>
        <w:rPr>
          <w:sz w:val="19"/>
          <w:szCs w:val="19"/>
        </w:rPr>
        <w:t>Déploiement d'une base électronique de gestion des prospects (2012/2013) – innovation commerciale structurante.</w:t>
      </w:r>
    </w:p>
    <w:p w14:paraId="1F133A19" w14:textId="77777777" w:rsidR="00AC2FAA" w:rsidRDefault="00066E4B" w:rsidP="00180F2B">
      <w:pPr>
        <w:pStyle w:val="Paragraphedeliste"/>
        <w:numPr>
          <w:ilvl w:val="0"/>
          <w:numId w:val="2"/>
        </w:numPr>
        <w:spacing w:before="40" w:after="40"/>
        <w:ind w:left="142" w:right="196"/>
        <w:jc w:val="both"/>
      </w:pPr>
      <w:r>
        <w:rPr>
          <w:sz w:val="19"/>
          <w:szCs w:val="19"/>
        </w:rPr>
        <w:t>Évaluation des équipes commerciales (chargés d'affaires, CCP) et pilotage des parcours d'intégration.</w:t>
      </w:r>
    </w:p>
    <w:p w14:paraId="3FA88C47" w14:textId="77777777" w:rsidR="00AC2FAA" w:rsidRDefault="00066E4B">
      <w:pPr>
        <w:tabs>
          <w:tab w:val="right" w:pos="9026"/>
        </w:tabs>
        <w:spacing w:before="160" w:after="30"/>
      </w:pPr>
      <w:r>
        <w:rPr>
          <w:b/>
          <w:bCs/>
          <w:color w:val="2E75B6"/>
          <w:sz w:val="21"/>
          <w:szCs w:val="21"/>
        </w:rPr>
        <w:t>Chargé du Reporting Réglementaire UEMOA</w:t>
      </w:r>
      <w:r>
        <w:rPr>
          <w:i/>
          <w:iCs/>
          <w:color w:val="5A6A7A"/>
          <w:sz w:val="18"/>
          <w:szCs w:val="18"/>
        </w:rPr>
        <w:tab/>
      </w:r>
      <w:proofErr w:type="gramStart"/>
      <w:r>
        <w:rPr>
          <w:i/>
          <w:iCs/>
          <w:color w:val="5A6A7A"/>
          <w:sz w:val="18"/>
          <w:szCs w:val="18"/>
        </w:rPr>
        <w:t>Juin</w:t>
      </w:r>
      <w:proofErr w:type="gramEnd"/>
      <w:r>
        <w:rPr>
          <w:i/>
          <w:iCs/>
          <w:color w:val="5A6A7A"/>
          <w:sz w:val="18"/>
          <w:szCs w:val="18"/>
        </w:rPr>
        <w:t xml:space="preserve"> 2000 – Oct. 2003</w:t>
      </w:r>
    </w:p>
    <w:p w14:paraId="401A464D" w14:textId="77777777" w:rsidR="00AC2FAA" w:rsidRDefault="00066E4B">
      <w:pPr>
        <w:spacing w:after="60"/>
      </w:pPr>
      <w:r>
        <w:rPr>
          <w:b/>
          <w:bCs/>
          <w:color w:val="1F3864"/>
          <w:sz w:val="19"/>
          <w:szCs w:val="19"/>
        </w:rPr>
        <w:t>BICIAB – Département Finance</w:t>
      </w:r>
    </w:p>
    <w:p w14:paraId="4B07CEE4" w14:textId="77777777" w:rsidR="00AC2FAA" w:rsidRDefault="00066E4B" w:rsidP="00180F2B">
      <w:pPr>
        <w:pStyle w:val="Paragraphedeliste"/>
        <w:numPr>
          <w:ilvl w:val="0"/>
          <w:numId w:val="2"/>
        </w:numPr>
        <w:tabs>
          <w:tab w:val="left" w:pos="9923"/>
        </w:tabs>
        <w:spacing w:before="40" w:after="40"/>
        <w:ind w:left="142" w:right="196"/>
        <w:jc w:val="both"/>
      </w:pPr>
      <w:r>
        <w:rPr>
          <w:sz w:val="19"/>
          <w:szCs w:val="19"/>
        </w:rPr>
        <w:t>Production manuelle des états réglementaires destinés à la Banque Centrale (BCEAO) : bilans, situations comptables, ratios prudentiels.</w:t>
      </w:r>
    </w:p>
    <w:p w14:paraId="0598CF48" w14:textId="77777777" w:rsidR="00AC2FAA" w:rsidRDefault="00066E4B" w:rsidP="00180F2B">
      <w:pPr>
        <w:pStyle w:val="Paragraphedeliste"/>
        <w:numPr>
          <w:ilvl w:val="0"/>
          <w:numId w:val="2"/>
        </w:numPr>
        <w:tabs>
          <w:tab w:val="left" w:pos="9923"/>
        </w:tabs>
        <w:spacing w:before="40" w:after="40"/>
        <w:ind w:left="142" w:right="196"/>
        <w:jc w:val="both"/>
      </w:pPr>
      <w:r>
        <w:rPr>
          <w:sz w:val="19"/>
          <w:szCs w:val="19"/>
        </w:rPr>
        <w:t>Participation active à la mise en place du logiciel d'automatisation du reporting UEMOA.</w:t>
      </w:r>
    </w:p>
    <w:p w14:paraId="5254B773" w14:textId="77777777" w:rsidR="00AC2FAA" w:rsidRDefault="00066E4B">
      <w:pPr>
        <w:tabs>
          <w:tab w:val="right" w:pos="9026"/>
        </w:tabs>
        <w:spacing w:before="160" w:after="30"/>
      </w:pPr>
      <w:r>
        <w:rPr>
          <w:b/>
          <w:bCs/>
          <w:color w:val="2E75B6"/>
          <w:sz w:val="21"/>
          <w:szCs w:val="21"/>
        </w:rPr>
        <w:t>Chef de Projet ABEL-IMMO – Gestion des Immobilisations</w:t>
      </w:r>
      <w:r>
        <w:rPr>
          <w:i/>
          <w:iCs/>
          <w:color w:val="5A6A7A"/>
          <w:sz w:val="18"/>
          <w:szCs w:val="18"/>
        </w:rPr>
        <w:tab/>
        <w:t>Nov. 2003 – Déc. 2004</w:t>
      </w:r>
    </w:p>
    <w:p w14:paraId="170E9CC2" w14:textId="77777777" w:rsidR="00AC2FAA" w:rsidRDefault="00066E4B">
      <w:pPr>
        <w:spacing w:after="60"/>
      </w:pPr>
      <w:r>
        <w:rPr>
          <w:b/>
          <w:bCs/>
          <w:color w:val="1F3864"/>
          <w:sz w:val="19"/>
          <w:szCs w:val="19"/>
        </w:rPr>
        <w:t>BICIAB – Département des Moyens Généraux</w:t>
      </w:r>
    </w:p>
    <w:p w14:paraId="26A07A1F" w14:textId="77777777" w:rsidR="00AC2FAA" w:rsidRDefault="00066E4B" w:rsidP="00180F2B">
      <w:pPr>
        <w:pStyle w:val="Paragraphedeliste"/>
        <w:numPr>
          <w:ilvl w:val="0"/>
          <w:numId w:val="2"/>
        </w:numPr>
        <w:spacing w:before="40" w:after="40"/>
        <w:ind w:left="142" w:right="196"/>
        <w:jc w:val="both"/>
      </w:pPr>
      <w:r>
        <w:rPr>
          <w:sz w:val="19"/>
          <w:szCs w:val="19"/>
        </w:rPr>
        <w:t>Premier inventaire physique des immobilisations de la banque : rapprochement comptable, valorisation, codification et adressage.</w:t>
      </w:r>
    </w:p>
    <w:p w14:paraId="7579C137" w14:textId="77777777" w:rsidR="00AC2FAA" w:rsidRDefault="00066E4B" w:rsidP="00180F2B">
      <w:pPr>
        <w:pStyle w:val="Paragraphedeliste"/>
        <w:numPr>
          <w:ilvl w:val="0"/>
          <w:numId w:val="2"/>
        </w:numPr>
        <w:spacing w:before="40" w:after="40"/>
        <w:ind w:left="142" w:right="196"/>
        <w:jc w:val="both"/>
      </w:pPr>
      <w:r>
        <w:rPr>
          <w:sz w:val="19"/>
          <w:szCs w:val="19"/>
        </w:rPr>
        <w:t>Paramétrage et déploiement du logiciel ABEL ENTREPRISE pour la gestion automatisée des immobilisations.</w:t>
      </w:r>
    </w:p>
    <w:p w14:paraId="5AF63F88" w14:textId="77777777" w:rsidR="00AC2FAA" w:rsidRDefault="00066E4B">
      <w:pPr>
        <w:tabs>
          <w:tab w:val="right" w:pos="9026"/>
        </w:tabs>
        <w:spacing w:before="160" w:after="30"/>
      </w:pPr>
      <w:r>
        <w:rPr>
          <w:b/>
          <w:bCs/>
          <w:color w:val="2E75B6"/>
          <w:sz w:val="21"/>
          <w:szCs w:val="21"/>
        </w:rPr>
        <w:t>Chargé de Programme – Développement Institutionnel</w:t>
      </w:r>
      <w:r>
        <w:rPr>
          <w:i/>
          <w:iCs/>
          <w:color w:val="5A6A7A"/>
          <w:sz w:val="18"/>
          <w:szCs w:val="18"/>
        </w:rPr>
        <w:tab/>
        <w:t>1999 – 2000</w:t>
      </w:r>
    </w:p>
    <w:p w14:paraId="33F03B9E" w14:textId="77777777" w:rsidR="00AC2FAA" w:rsidRDefault="00066E4B">
      <w:pPr>
        <w:spacing w:after="60"/>
      </w:pPr>
      <w:r>
        <w:rPr>
          <w:b/>
          <w:bCs/>
          <w:color w:val="1F3864"/>
          <w:sz w:val="19"/>
          <w:szCs w:val="19"/>
        </w:rPr>
        <w:t>Réseau Afrique Jeunesse / OXFAM-Québec</w:t>
      </w:r>
    </w:p>
    <w:p w14:paraId="222BF5DD" w14:textId="77777777" w:rsidR="00AC2FAA" w:rsidRDefault="00066E4B" w:rsidP="00180F2B">
      <w:pPr>
        <w:pStyle w:val="Paragraphedeliste"/>
        <w:numPr>
          <w:ilvl w:val="0"/>
          <w:numId w:val="2"/>
        </w:numPr>
        <w:spacing w:before="40" w:after="40"/>
        <w:ind w:left="142" w:right="196"/>
        <w:jc w:val="both"/>
      </w:pPr>
      <w:r>
        <w:rPr>
          <w:sz w:val="19"/>
          <w:szCs w:val="19"/>
        </w:rPr>
        <w:t>Renforcement des capacités associatives auprès d'acteurs de la société civile et de communautés vulnérables.</w:t>
      </w:r>
    </w:p>
    <w:p w14:paraId="0B83F47B" w14:textId="3DFC2236" w:rsidR="00AC2FAA" w:rsidRDefault="00066E4B" w:rsidP="00180F2B">
      <w:pPr>
        <w:pStyle w:val="Paragraphedeliste"/>
        <w:numPr>
          <w:ilvl w:val="0"/>
          <w:numId w:val="2"/>
        </w:numPr>
        <w:spacing w:before="40" w:after="40"/>
        <w:ind w:left="142" w:right="196"/>
        <w:jc w:val="both"/>
      </w:pPr>
      <w:r>
        <w:rPr>
          <w:sz w:val="19"/>
          <w:szCs w:val="19"/>
        </w:rPr>
        <w:t>Co-rédaction et pilotage d'un programme de développement institutionnel multi-acteurs en partenariat avec OXFAM-Québec</w:t>
      </w:r>
      <w:r w:rsidR="00884A08">
        <w:rPr>
          <w:sz w:val="19"/>
          <w:szCs w:val="19"/>
        </w:rPr>
        <w:t xml:space="preserve"> / ONG Réseau Afrique Jeunesse</w:t>
      </w:r>
    </w:p>
    <w:p w14:paraId="6046DA50" w14:textId="77777777" w:rsidR="00AC2FAA" w:rsidRDefault="00066E4B">
      <w:pPr>
        <w:tabs>
          <w:tab w:val="right" w:pos="9026"/>
        </w:tabs>
        <w:spacing w:before="160" w:after="30"/>
      </w:pPr>
      <w:r>
        <w:rPr>
          <w:b/>
          <w:bCs/>
          <w:color w:val="2E75B6"/>
          <w:sz w:val="21"/>
          <w:szCs w:val="21"/>
        </w:rPr>
        <w:t>Auditeur – Commissariat aux Comptes &amp; Assistance Comptable</w:t>
      </w:r>
      <w:r>
        <w:rPr>
          <w:i/>
          <w:iCs/>
          <w:color w:val="5A6A7A"/>
          <w:sz w:val="18"/>
          <w:szCs w:val="18"/>
        </w:rPr>
        <w:tab/>
        <w:t>1996 – 1999</w:t>
      </w:r>
    </w:p>
    <w:p w14:paraId="193221C8" w14:textId="77777777" w:rsidR="00AC2FAA" w:rsidRDefault="00066E4B">
      <w:pPr>
        <w:spacing w:after="60"/>
      </w:pPr>
      <w:r>
        <w:rPr>
          <w:b/>
          <w:bCs/>
          <w:color w:val="1F3864"/>
          <w:sz w:val="19"/>
          <w:szCs w:val="19"/>
        </w:rPr>
        <w:t>Cabinet SOFIDEC – Expertise Comptable, Ouagadougou</w:t>
      </w:r>
    </w:p>
    <w:p w14:paraId="3346ACA8" w14:textId="77777777" w:rsidR="00AC2FAA" w:rsidRDefault="00066E4B" w:rsidP="00180F2B">
      <w:pPr>
        <w:pStyle w:val="Paragraphedeliste"/>
        <w:numPr>
          <w:ilvl w:val="0"/>
          <w:numId w:val="2"/>
        </w:numPr>
        <w:spacing w:before="40" w:after="40"/>
        <w:ind w:left="142" w:right="196"/>
        <w:jc w:val="both"/>
      </w:pPr>
      <w:r>
        <w:rPr>
          <w:sz w:val="19"/>
          <w:szCs w:val="19"/>
        </w:rPr>
        <w:t>Missions d'audit et de commissariat aux comptes : BICIAB, UBA/BIB, CBMP (Comptoir Burkinabé des Métaux Précieux), ONAT.</w:t>
      </w:r>
    </w:p>
    <w:p w14:paraId="395A68F2" w14:textId="77777777" w:rsidR="00AC2FAA" w:rsidRDefault="00066E4B" w:rsidP="00180F2B">
      <w:pPr>
        <w:pStyle w:val="Paragraphedeliste"/>
        <w:numPr>
          <w:ilvl w:val="0"/>
          <w:numId w:val="2"/>
        </w:numPr>
        <w:spacing w:before="40" w:after="40"/>
        <w:ind w:left="142" w:right="196"/>
        <w:jc w:val="both"/>
      </w:pPr>
      <w:r>
        <w:rPr>
          <w:sz w:val="19"/>
          <w:szCs w:val="19"/>
        </w:rPr>
        <w:t>Audit organisationnel, travaux d'inventaire, valorisation et rapprochement comptable pour des entités publiques et privées.</w:t>
      </w:r>
    </w:p>
    <w:p w14:paraId="24B9D2CC" w14:textId="77777777" w:rsidR="00AC2FAA" w:rsidRDefault="00066E4B" w:rsidP="005C7948">
      <w:pPr>
        <w:pBdr>
          <w:bottom w:val="single" w:sz="8" w:space="0" w:color="2E75B6"/>
        </w:pBdr>
        <w:shd w:val="clear" w:color="auto" w:fill="CAEDFB" w:themeFill="accent4" w:themeFillTint="33"/>
        <w:spacing w:before="360" w:after="80"/>
      </w:pPr>
      <w:r>
        <w:rPr>
          <w:b/>
          <w:bCs/>
          <w:color w:val="1F3864"/>
          <w:sz w:val="22"/>
          <w:szCs w:val="22"/>
        </w:rPr>
        <w:t>FORMATION ACADÉMIQUE &amp; CERTIFICATIONS</w:t>
      </w:r>
    </w:p>
    <w:p w14:paraId="07D89BCD" w14:textId="36E4D217" w:rsidR="00AC2FAA" w:rsidRDefault="00066E4B" w:rsidP="005C7948">
      <w:pPr>
        <w:tabs>
          <w:tab w:val="right" w:pos="9026"/>
        </w:tabs>
        <w:spacing w:before="240" w:after="30"/>
        <w:ind w:left="142"/>
      </w:pPr>
      <w:r>
        <w:rPr>
          <w:b/>
          <w:bCs/>
          <w:color w:val="2E75B6"/>
          <w:sz w:val="21"/>
          <w:szCs w:val="21"/>
        </w:rPr>
        <w:t>Diplôme ITB – Management Bancaire</w:t>
      </w:r>
      <w:r>
        <w:rPr>
          <w:i/>
          <w:iCs/>
          <w:color w:val="5A6A7A"/>
          <w:sz w:val="18"/>
          <w:szCs w:val="18"/>
        </w:rPr>
        <w:tab/>
      </w:r>
      <w:r w:rsidR="00071568">
        <w:rPr>
          <w:i/>
          <w:iCs/>
          <w:color w:val="5A6A7A"/>
          <w:sz w:val="18"/>
          <w:szCs w:val="18"/>
        </w:rPr>
        <w:t xml:space="preserve">  </w:t>
      </w:r>
      <w:r>
        <w:rPr>
          <w:i/>
          <w:iCs/>
          <w:color w:val="5A6A7A"/>
          <w:sz w:val="18"/>
          <w:szCs w:val="18"/>
        </w:rPr>
        <w:t>2005</w:t>
      </w:r>
    </w:p>
    <w:p w14:paraId="1BDDCA16" w14:textId="77777777" w:rsidR="00AC2FAA" w:rsidRDefault="00066E4B" w:rsidP="00071568">
      <w:pPr>
        <w:spacing w:after="60"/>
        <w:ind w:left="142"/>
      </w:pPr>
      <w:r>
        <w:rPr>
          <w:b/>
          <w:bCs/>
          <w:color w:val="1F3864"/>
          <w:sz w:val="19"/>
          <w:szCs w:val="19"/>
        </w:rPr>
        <w:t xml:space="preserve">Institut Technique de Banque (CFPB) | </w:t>
      </w:r>
      <w:proofErr w:type="spellStart"/>
      <w:r>
        <w:rPr>
          <w:b/>
          <w:bCs/>
          <w:color w:val="1F3864"/>
          <w:sz w:val="19"/>
          <w:szCs w:val="19"/>
        </w:rPr>
        <w:t>Ecole</w:t>
      </w:r>
      <w:proofErr w:type="spellEnd"/>
      <w:r>
        <w:rPr>
          <w:b/>
          <w:bCs/>
          <w:color w:val="1F3864"/>
          <w:sz w:val="19"/>
          <w:szCs w:val="19"/>
        </w:rPr>
        <w:t xml:space="preserve"> Supérieure de la Banque, Paris (France)</w:t>
      </w:r>
    </w:p>
    <w:p w14:paraId="269E73D4" w14:textId="77777777" w:rsidR="00AC2FAA" w:rsidRDefault="00066E4B" w:rsidP="00071568">
      <w:pPr>
        <w:tabs>
          <w:tab w:val="right" w:pos="9026"/>
        </w:tabs>
        <w:spacing w:before="120" w:after="30"/>
        <w:ind w:left="142"/>
      </w:pPr>
      <w:r>
        <w:rPr>
          <w:b/>
          <w:bCs/>
          <w:color w:val="2E75B6"/>
          <w:sz w:val="21"/>
          <w:szCs w:val="21"/>
        </w:rPr>
        <w:t>Certificat de Perfectionnement en Management</w:t>
      </w:r>
      <w:r>
        <w:rPr>
          <w:i/>
          <w:iCs/>
          <w:color w:val="5A6A7A"/>
          <w:sz w:val="18"/>
          <w:szCs w:val="18"/>
        </w:rPr>
        <w:tab/>
        <w:t>1998</w:t>
      </w:r>
    </w:p>
    <w:p w14:paraId="27CE4A95" w14:textId="77777777" w:rsidR="00AC2FAA" w:rsidRDefault="00066E4B" w:rsidP="00071568">
      <w:pPr>
        <w:spacing w:after="60"/>
        <w:ind w:left="142"/>
      </w:pPr>
      <w:r>
        <w:rPr>
          <w:b/>
          <w:bCs/>
          <w:color w:val="1F3864"/>
          <w:sz w:val="19"/>
          <w:szCs w:val="19"/>
        </w:rPr>
        <w:t xml:space="preserve">Institut Inter-Universitaire / </w:t>
      </w:r>
      <w:proofErr w:type="spellStart"/>
      <w:r>
        <w:rPr>
          <w:b/>
          <w:bCs/>
          <w:color w:val="1F3864"/>
          <w:sz w:val="19"/>
          <w:szCs w:val="19"/>
        </w:rPr>
        <w:t>Vrije</w:t>
      </w:r>
      <w:proofErr w:type="spellEnd"/>
      <w:r>
        <w:rPr>
          <w:b/>
          <w:bCs/>
          <w:color w:val="1F3864"/>
          <w:sz w:val="19"/>
          <w:szCs w:val="19"/>
        </w:rPr>
        <w:t xml:space="preserve"> Universiteit Brussel (IIFD/VUB), Belgique</w:t>
      </w:r>
    </w:p>
    <w:p w14:paraId="3010034E" w14:textId="77777777" w:rsidR="00AC2FAA" w:rsidRDefault="00066E4B" w:rsidP="00071568">
      <w:pPr>
        <w:tabs>
          <w:tab w:val="right" w:pos="9026"/>
        </w:tabs>
        <w:spacing w:before="120" w:after="30"/>
        <w:ind w:left="142"/>
      </w:pPr>
      <w:r>
        <w:rPr>
          <w:b/>
          <w:bCs/>
          <w:color w:val="2E75B6"/>
          <w:sz w:val="21"/>
          <w:szCs w:val="21"/>
        </w:rPr>
        <w:t>Maîtrise en Sciences Économiques et de Gestion – Option Gestion des Entreprises</w:t>
      </w:r>
      <w:r>
        <w:rPr>
          <w:i/>
          <w:iCs/>
          <w:color w:val="5A6A7A"/>
          <w:sz w:val="18"/>
          <w:szCs w:val="18"/>
        </w:rPr>
        <w:tab/>
        <w:t>1995</w:t>
      </w:r>
    </w:p>
    <w:p w14:paraId="715BA49E" w14:textId="77777777" w:rsidR="00AC2FAA" w:rsidRDefault="00066E4B" w:rsidP="00071568">
      <w:pPr>
        <w:spacing w:after="60"/>
        <w:ind w:left="142"/>
      </w:pPr>
      <w:r>
        <w:rPr>
          <w:b/>
          <w:bCs/>
          <w:color w:val="1F3864"/>
          <w:sz w:val="19"/>
          <w:szCs w:val="19"/>
        </w:rPr>
        <w:t>ESSEC – Université de Ouagadougou, Burkina Faso</w:t>
      </w:r>
    </w:p>
    <w:p w14:paraId="63C74712" w14:textId="77777777" w:rsidR="00AC2FAA" w:rsidRDefault="00066E4B" w:rsidP="00071568">
      <w:pPr>
        <w:tabs>
          <w:tab w:val="right" w:pos="9026"/>
        </w:tabs>
        <w:spacing w:before="120" w:after="30"/>
        <w:ind w:left="142"/>
      </w:pPr>
      <w:r>
        <w:rPr>
          <w:b/>
          <w:bCs/>
          <w:color w:val="2E75B6"/>
          <w:sz w:val="21"/>
          <w:szCs w:val="21"/>
        </w:rPr>
        <w:t>Licence en Sciences Économiques et de Gestion</w:t>
      </w:r>
      <w:r>
        <w:rPr>
          <w:i/>
          <w:iCs/>
          <w:color w:val="5A6A7A"/>
          <w:sz w:val="18"/>
          <w:szCs w:val="18"/>
        </w:rPr>
        <w:tab/>
        <w:t>1994</w:t>
      </w:r>
    </w:p>
    <w:p w14:paraId="6EFE592C" w14:textId="77777777" w:rsidR="00AC2FAA" w:rsidRDefault="00066E4B" w:rsidP="00071568">
      <w:pPr>
        <w:spacing w:after="60"/>
        <w:ind w:left="142"/>
        <w:rPr>
          <w:b/>
          <w:bCs/>
          <w:color w:val="1F3864"/>
          <w:sz w:val="19"/>
          <w:szCs w:val="19"/>
        </w:rPr>
      </w:pPr>
      <w:r>
        <w:rPr>
          <w:b/>
          <w:bCs/>
          <w:color w:val="1F3864"/>
          <w:sz w:val="19"/>
          <w:szCs w:val="19"/>
        </w:rPr>
        <w:t>ESSEC – Université de Ouagadougou, Burkina Faso</w:t>
      </w:r>
    </w:p>
    <w:p w14:paraId="3465BC9F" w14:textId="77777777" w:rsidR="00C85BE3" w:rsidRDefault="00C85BE3" w:rsidP="00071568">
      <w:pPr>
        <w:spacing w:after="60"/>
        <w:ind w:left="142"/>
        <w:rPr>
          <w:b/>
          <w:bCs/>
          <w:color w:val="1F3864"/>
          <w:sz w:val="19"/>
          <w:szCs w:val="19"/>
        </w:rPr>
      </w:pPr>
    </w:p>
    <w:p w14:paraId="6AEE7057" w14:textId="77777777" w:rsidR="00C85BE3" w:rsidRDefault="00C85BE3" w:rsidP="00071568">
      <w:pPr>
        <w:spacing w:after="60"/>
        <w:ind w:left="142"/>
      </w:pPr>
    </w:p>
    <w:p w14:paraId="2F02B290" w14:textId="77777777" w:rsidR="00AC2FAA" w:rsidRDefault="00066E4B" w:rsidP="005C7948">
      <w:pPr>
        <w:pBdr>
          <w:bottom w:val="single" w:sz="8" w:space="0" w:color="2E75B6"/>
        </w:pBdr>
        <w:shd w:val="clear" w:color="auto" w:fill="CAEDFB" w:themeFill="accent4" w:themeFillTint="33"/>
        <w:spacing w:before="260" w:after="80"/>
      </w:pPr>
      <w:r>
        <w:rPr>
          <w:b/>
          <w:bCs/>
          <w:color w:val="1F3864"/>
          <w:sz w:val="22"/>
          <w:szCs w:val="22"/>
        </w:rPr>
        <w:lastRenderedPageBreak/>
        <w:t>ACTIVITÉS D'ENSEIGNEMENT &amp; RENFORCEMENT DES CAPACITÉS</w:t>
      </w:r>
    </w:p>
    <w:p w14:paraId="1588FD1B" w14:textId="77777777" w:rsidR="00AC2FAA" w:rsidRDefault="00066E4B" w:rsidP="00884A08">
      <w:pPr>
        <w:pStyle w:val="Paragraphedeliste"/>
        <w:numPr>
          <w:ilvl w:val="0"/>
          <w:numId w:val="2"/>
        </w:numPr>
        <w:spacing w:before="240" w:after="40"/>
        <w:ind w:left="522" w:right="198" w:hanging="261"/>
        <w:jc w:val="both"/>
      </w:pPr>
      <w:r>
        <w:rPr>
          <w:sz w:val="19"/>
          <w:szCs w:val="19"/>
        </w:rPr>
        <w:t>Techniques bancaires &amp; cartographie des risques – Université Saint Thomas d'Aquin, Ouagadougou (2009–2013, Master).</w:t>
      </w:r>
    </w:p>
    <w:p w14:paraId="4362B087" w14:textId="77777777" w:rsidR="00AC2FAA" w:rsidRDefault="00066E4B" w:rsidP="00180F2B">
      <w:pPr>
        <w:pStyle w:val="Paragraphedeliste"/>
        <w:numPr>
          <w:ilvl w:val="0"/>
          <w:numId w:val="2"/>
        </w:numPr>
        <w:spacing w:before="120" w:after="40"/>
        <w:ind w:left="522" w:right="196" w:hanging="261"/>
        <w:jc w:val="both"/>
      </w:pPr>
      <w:r>
        <w:rPr>
          <w:sz w:val="19"/>
          <w:szCs w:val="19"/>
        </w:rPr>
        <w:t>Formateur professionnel certifié – Sélectionné par le Conseil National du Patronat du Burkina (CNPB) dans le vivier national de formateurs (2019).</w:t>
      </w:r>
    </w:p>
    <w:p w14:paraId="3C1AFBF7" w14:textId="77777777" w:rsidR="00AC2FAA" w:rsidRDefault="00066E4B" w:rsidP="00180F2B">
      <w:pPr>
        <w:pStyle w:val="Paragraphedeliste"/>
        <w:numPr>
          <w:ilvl w:val="0"/>
          <w:numId w:val="2"/>
        </w:numPr>
        <w:spacing w:before="120" w:after="40"/>
        <w:ind w:left="522" w:right="196" w:hanging="261"/>
        <w:jc w:val="both"/>
      </w:pPr>
      <w:r>
        <w:rPr>
          <w:sz w:val="19"/>
          <w:szCs w:val="19"/>
        </w:rPr>
        <w:t>Modules dispensés : Planification stratégique, Gestion financière, Analyse financière, Comptabilité SYSCOA, Contrôle de gestion – Cabinet Perfectum Afrique.</w:t>
      </w:r>
    </w:p>
    <w:p w14:paraId="72411329" w14:textId="77777777" w:rsidR="00AC2FAA" w:rsidRDefault="00066E4B" w:rsidP="00180F2B">
      <w:pPr>
        <w:pStyle w:val="Paragraphedeliste"/>
        <w:numPr>
          <w:ilvl w:val="0"/>
          <w:numId w:val="2"/>
        </w:numPr>
        <w:spacing w:before="120" w:after="40"/>
        <w:ind w:left="522" w:right="196" w:hanging="261"/>
        <w:jc w:val="both"/>
      </w:pPr>
      <w:r>
        <w:rPr>
          <w:sz w:val="19"/>
          <w:szCs w:val="19"/>
        </w:rPr>
        <w:t>Formation de 150 jeunes diplômés au Système Comptable Ouest-Africain (SYSCOA) – Centre d'Information des Jeunes pour l'Emploi et la Formation (CIJEF), 1999.</w:t>
      </w:r>
    </w:p>
    <w:p w14:paraId="45890355" w14:textId="77777777" w:rsidR="00AC2FAA" w:rsidRDefault="00066E4B" w:rsidP="00180F2B">
      <w:pPr>
        <w:pStyle w:val="Paragraphedeliste"/>
        <w:numPr>
          <w:ilvl w:val="0"/>
          <w:numId w:val="2"/>
        </w:numPr>
        <w:spacing w:before="120" w:after="40"/>
        <w:ind w:left="522" w:right="196" w:hanging="261"/>
        <w:jc w:val="both"/>
      </w:pPr>
      <w:r>
        <w:rPr>
          <w:sz w:val="19"/>
          <w:szCs w:val="19"/>
        </w:rPr>
        <w:t>Techniques de vente – Agents commerciaux de la Générale des Assurances Burkina Faso (2000).</w:t>
      </w:r>
    </w:p>
    <w:p w14:paraId="34519C09" w14:textId="77777777" w:rsidR="00AC2FAA" w:rsidRDefault="00066E4B" w:rsidP="00180F2B">
      <w:pPr>
        <w:pStyle w:val="Paragraphedeliste"/>
        <w:numPr>
          <w:ilvl w:val="0"/>
          <w:numId w:val="2"/>
        </w:numPr>
        <w:spacing w:before="120" w:after="40"/>
        <w:ind w:left="522" w:right="196" w:hanging="261"/>
        <w:jc w:val="both"/>
      </w:pPr>
      <w:r>
        <w:rPr>
          <w:sz w:val="19"/>
          <w:szCs w:val="19"/>
        </w:rPr>
        <w:t>Animation de groupes leaders : associations, ONGs, organisations communautaires (2000–2001).</w:t>
      </w:r>
    </w:p>
    <w:p w14:paraId="39DBDC0A" w14:textId="77777777" w:rsidR="00AC2FAA" w:rsidRDefault="00AC2FAA">
      <w:pPr>
        <w:spacing w:before="200"/>
      </w:pPr>
    </w:p>
    <w:p w14:paraId="42952C25" w14:textId="77777777" w:rsidR="00AC2FAA" w:rsidRDefault="00066E4B" w:rsidP="005C7948">
      <w:pPr>
        <w:pBdr>
          <w:bottom w:val="single" w:sz="8" w:space="0" w:color="2E75B6"/>
        </w:pBdr>
        <w:shd w:val="clear" w:color="auto" w:fill="CAEDFB" w:themeFill="accent4" w:themeFillTint="33"/>
        <w:spacing w:before="260" w:after="80"/>
      </w:pPr>
      <w:r>
        <w:rPr>
          <w:b/>
          <w:bCs/>
          <w:color w:val="1F3864"/>
          <w:sz w:val="22"/>
          <w:szCs w:val="22"/>
        </w:rPr>
        <w:t>ENGAGEMENTS INSTITUTIONNELS &amp; VIE ASSOCIATIVE</w:t>
      </w:r>
    </w:p>
    <w:p w14:paraId="6FCB7057" w14:textId="77777777" w:rsidR="00AC2FAA" w:rsidRDefault="00066E4B" w:rsidP="00884A08">
      <w:pPr>
        <w:pStyle w:val="Paragraphedeliste"/>
        <w:numPr>
          <w:ilvl w:val="0"/>
          <w:numId w:val="2"/>
        </w:numPr>
        <w:spacing w:before="240" w:after="40"/>
        <w:ind w:left="522" w:hanging="261"/>
      </w:pPr>
      <w:r>
        <w:rPr>
          <w:sz w:val="19"/>
          <w:szCs w:val="19"/>
        </w:rPr>
        <w:t>Membre de la 2ème Chambre des Représentants du Burkina Faso – représentant les associations de défense de l'environnement (2004).</w:t>
      </w:r>
    </w:p>
    <w:p w14:paraId="6AA19ED5" w14:textId="546F5DDA" w:rsidR="00AC2FAA" w:rsidRDefault="00066E4B" w:rsidP="00180F2B">
      <w:pPr>
        <w:pStyle w:val="Paragraphedeliste"/>
        <w:numPr>
          <w:ilvl w:val="0"/>
          <w:numId w:val="2"/>
        </w:numPr>
        <w:spacing w:before="120" w:after="40"/>
        <w:ind w:left="522" w:hanging="261"/>
      </w:pPr>
      <w:r>
        <w:rPr>
          <w:sz w:val="19"/>
          <w:szCs w:val="19"/>
        </w:rPr>
        <w:t>Président du Club UNESCO de Banfora (1991) – promotion de la culture, de l'éducation et des échanges interculturels.</w:t>
      </w:r>
    </w:p>
    <w:p w14:paraId="55573A81" w14:textId="77777777" w:rsidR="00AC2FAA" w:rsidRDefault="00066E4B" w:rsidP="00180F2B">
      <w:pPr>
        <w:pStyle w:val="Paragraphedeliste"/>
        <w:numPr>
          <w:ilvl w:val="0"/>
          <w:numId w:val="2"/>
        </w:numPr>
        <w:spacing w:before="120" w:after="40"/>
        <w:ind w:left="522" w:hanging="261"/>
      </w:pPr>
      <w:r>
        <w:rPr>
          <w:sz w:val="19"/>
          <w:szCs w:val="19"/>
        </w:rPr>
        <w:t>Personne-ressource – Association « Marche Mondiale des Femmes », Burkina Faso.</w:t>
      </w:r>
    </w:p>
    <w:p w14:paraId="0E6C3AA3" w14:textId="77777777" w:rsidR="00AC2FAA" w:rsidRDefault="00066E4B">
      <w:pPr>
        <w:pStyle w:val="Paragraphedeliste"/>
        <w:numPr>
          <w:ilvl w:val="0"/>
          <w:numId w:val="2"/>
        </w:numPr>
        <w:spacing w:before="40" w:after="40"/>
      </w:pPr>
      <w:r>
        <w:rPr>
          <w:sz w:val="19"/>
          <w:szCs w:val="19"/>
        </w:rPr>
        <w:t>Membre actif – Association Burkinabè sur les Techniques Quantitatives de Gestion (ABTQG).</w:t>
      </w:r>
    </w:p>
    <w:p w14:paraId="69123589" w14:textId="527D74DB" w:rsidR="00AC2FAA" w:rsidRDefault="00066E4B">
      <w:pPr>
        <w:pStyle w:val="Paragraphedeliste"/>
        <w:numPr>
          <w:ilvl w:val="0"/>
          <w:numId w:val="2"/>
        </w:numPr>
        <w:spacing w:before="40" w:after="40"/>
      </w:pPr>
      <w:r>
        <w:rPr>
          <w:sz w:val="19"/>
          <w:szCs w:val="19"/>
        </w:rPr>
        <w:t>Facilitation d'ateliers, séminaires et colloques dans les domaines financier</w:t>
      </w:r>
      <w:r w:rsidR="005C7948">
        <w:rPr>
          <w:sz w:val="19"/>
          <w:szCs w:val="19"/>
        </w:rPr>
        <w:t>s</w:t>
      </w:r>
      <w:r>
        <w:rPr>
          <w:sz w:val="19"/>
          <w:szCs w:val="19"/>
        </w:rPr>
        <w:t>, institutionnel et communautaire.</w:t>
      </w:r>
    </w:p>
    <w:p w14:paraId="7A9CBD0E" w14:textId="77777777" w:rsidR="00AC2FAA" w:rsidRDefault="00AC2FAA">
      <w:pPr>
        <w:spacing w:before="200"/>
      </w:pPr>
    </w:p>
    <w:p w14:paraId="6A0DBEB0" w14:textId="77777777" w:rsidR="00AC2FAA" w:rsidRDefault="00066E4B" w:rsidP="005C7948">
      <w:pPr>
        <w:pBdr>
          <w:bottom w:val="single" w:sz="8" w:space="0" w:color="2E75B6"/>
        </w:pBdr>
        <w:shd w:val="clear" w:color="auto" w:fill="CAEDFB" w:themeFill="accent4" w:themeFillTint="33"/>
        <w:spacing w:before="260" w:after="80"/>
      </w:pPr>
      <w:r>
        <w:rPr>
          <w:b/>
          <w:bCs/>
          <w:color w:val="1F3864"/>
          <w:sz w:val="22"/>
          <w:szCs w:val="22"/>
        </w:rPr>
        <w:t>COMPÉTENCES TECHNIQUES &amp; OUTILS</w:t>
      </w:r>
    </w:p>
    <w:p w14:paraId="2C5968D7" w14:textId="77777777" w:rsidR="00AC2FAA" w:rsidRDefault="00AC2FAA">
      <w:pPr>
        <w:spacing w:before="80"/>
      </w:pPr>
    </w:p>
    <w:p w14:paraId="0B98094E" w14:textId="77777777" w:rsidR="00884A08" w:rsidRDefault="00884A08">
      <w:pPr>
        <w:spacing w:before="80"/>
      </w:pPr>
    </w:p>
    <w:tbl>
      <w:tblPr>
        <w:tblW w:w="10289"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10"/>
        <w:gridCol w:w="7879"/>
      </w:tblGrid>
      <w:tr w:rsidR="00AC2FAA" w14:paraId="621FA1AD" w14:textId="77777777" w:rsidTr="00C85BE3">
        <w:trPr>
          <w:trHeight w:val="453"/>
        </w:trPr>
        <w:tc>
          <w:tcPr>
            <w:tcW w:w="2410" w:type="dxa"/>
            <w:tcMar>
              <w:top w:w="50" w:type="dxa"/>
              <w:left w:w="0" w:type="dxa"/>
              <w:bottom w:w="50" w:type="dxa"/>
              <w:right w:w="100" w:type="dxa"/>
            </w:tcMar>
            <w:vAlign w:val="center"/>
          </w:tcPr>
          <w:p w14:paraId="7D17C017" w14:textId="77777777" w:rsidR="00AC2FAA" w:rsidRDefault="00066E4B">
            <w:r>
              <w:rPr>
                <w:b/>
                <w:bCs/>
                <w:color w:val="5A6A7A"/>
                <w:sz w:val="18"/>
                <w:szCs w:val="18"/>
              </w:rPr>
              <w:t>Systèmes bancaires</w:t>
            </w:r>
          </w:p>
        </w:tc>
        <w:tc>
          <w:tcPr>
            <w:tcW w:w="7879" w:type="dxa"/>
            <w:tcMar>
              <w:top w:w="50" w:type="dxa"/>
              <w:left w:w="100" w:type="dxa"/>
              <w:bottom w:w="50" w:type="dxa"/>
              <w:right w:w="0" w:type="dxa"/>
            </w:tcMar>
            <w:vAlign w:val="center"/>
          </w:tcPr>
          <w:p w14:paraId="13313735" w14:textId="4F706A0F" w:rsidR="00AC2FAA" w:rsidRDefault="00066E4B">
            <w:r>
              <w:rPr>
                <w:color w:val="000000"/>
                <w:sz w:val="18"/>
                <w:szCs w:val="18"/>
              </w:rPr>
              <w:t>Temenos T24, Amplitude UP, Atlas II, Business Object</w:t>
            </w:r>
            <w:r w:rsidR="005C7948">
              <w:rPr>
                <w:color w:val="000000"/>
                <w:sz w:val="18"/>
                <w:szCs w:val="18"/>
              </w:rPr>
              <w:t xml:space="preserve">, </w:t>
            </w:r>
          </w:p>
        </w:tc>
      </w:tr>
      <w:tr w:rsidR="00AC2FAA" w14:paraId="3676979A" w14:textId="77777777" w:rsidTr="00C85BE3">
        <w:trPr>
          <w:trHeight w:val="410"/>
        </w:trPr>
        <w:tc>
          <w:tcPr>
            <w:tcW w:w="2410" w:type="dxa"/>
            <w:tcMar>
              <w:top w:w="50" w:type="dxa"/>
              <w:left w:w="0" w:type="dxa"/>
              <w:bottom w:w="50" w:type="dxa"/>
              <w:right w:w="100" w:type="dxa"/>
            </w:tcMar>
            <w:vAlign w:val="center"/>
          </w:tcPr>
          <w:p w14:paraId="728A573D" w14:textId="0E05C954" w:rsidR="00AC2FAA" w:rsidRDefault="00066E4B">
            <w:r>
              <w:rPr>
                <w:b/>
                <w:bCs/>
                <w:color w:val="5A6A7A"/>
                <w:sz w:val="18"/>
                <w:szCs w:val="18"/>
              </w:rPr>
              <w:t xml:space="preserve">Comptabilité &amp; </w:t>
            </w:r>
            <w:r w:rsidR="00C85BE3">
              <w:rPr>
                <w:b/>
                <w:bCs/>
                <w:color w:val="5A6A7A"/>
                <w:sz w:val="18"/>
                <w:szCs w:val="18"/>
              </w:rPr>
              <w:t>R</w:t>
            </w:r>
            <w:r>
              <w:rPr>
                <w:b/>
                <w:bCs/>
                <w:color w:val="5A6A7A"/>
                <w:sz w:val="18"/>
                <w:szCs w:val="18"/>
              </w:rPr>
              <w:t>eporting</w:t>
            </w:r>
          </w:p>
        </w:tc>
        <w:tc>
          <w:tcPr>
            <w:tcW w:w="7879" w:type="dxa"/>
            <w:tcMar>
              <w:top w:w="50" w:type="dxa"/>
              <w:left w:w="100" w:type="dxa"/>
              <w:bottom w:w="50" w:type="dxa"/>
              <w:right w:w="0" w:type="dxa"/>
            </w:tcMar>
            <w:vAlign w:val="center"/>
          </w:tcPr>
          <w:p w14:paraId="4041C6DB" w14:textId="77777777" w:rsidR="00AC2FAA" w:rsidRDefault="00066E4B">
            <w:r>
              <w:rPr>
                <w:color w:val="000000"/>
                <w:sz w:val="18"/>
                <w:szCs w:val="18"/>
              </w:rPr>
              <w:t>SYSCOA/OHADA, UMOA Reporting, ratios prudentiels BCEAO</w:t>
            </w:r>
          </w:p>
        </w:tc>
      </w:tr>
      <w:tr w:rsidR="00AC2FAA" w14:paraId="764065CC" w14:textId="77777777" w:rsidTr="00C85BE3">
        <w:trPr>
          <w:trHeight w:val="335"/>
        </w:trPr>
        <w:tc>
          <w:tcPr>
            <w:tcW w:w="2410" w:type="dxa"/>
            <w:tcMar>
              <w:top w:w="50" w:type="dxa"/>
              <w:left w:w="0" w:type="dxa"/>
              <w:bottom w:w="50" w:type="dxa"/>
              <w:right w:w="100" w:type="dxa"/>
            </w:tcMar>
            <w:vAlign w:val="center"/>
          </w:tcPr>
          <w:p w14:paraId="7EA2B2D4" w14:textId="77777777" w:rsidR="00AC2FAA" w:rsidRDefault="00066E4B">
            <w:r>
              <w:rPr>
                <w:b/>
                <w:bCs/>
                <w:color w:val="5A6A7A"/>
                <w:sz w:val="18"/>
                <w:szCs w:val="18"/>
              </w:rPr>
              <w:t>Outils informatiques</w:t>
            </w:r>
          </w:p>
        </w:tc>
        <w:tc>
          <w:tcPr>
            <w:tcW w:w="7879" w:type="dxa"/>
            <w:tcMar>
              <w:top w:w="50" w:type="dxa"/>
              <w:left w:w="100" w:type="dxa"/>
              <w:bottom w:w="50" w:type="dxa"/>
              <w:right w:w="0" w:type="dxa"/>
            </w:tcMar>
            <w:vAlign w:val="center"/>
          </w:tcPr>
          <w:p w14:paraId="42B35E96" w14:textId="2D517596" w:rsidR="00AC2FAA" w:rsidRDefault="00066E4B">
            <w:r>
              <w:rPr>
                <w:color w:val="000000"/>
                <w:sz w:val="18"/>
                <w:szCs w:val="18"/>
              </w:rPr>
              <w:t xml:space="preserve">MS Office (Word, </w:t>
            </w:r>
            <w:proofErr w:type="spellStart"/>
            <w:proofErr w:type="gramStart"/>
            <w:r>
              <w:rPr>
                <w:color w:val="000000"/>
                <w:sz w:val="18"/>
                <w:szCs w:val="18"/>
              </w:rPr>
              <w:t>Excel,PowerPoint</w:t>
            </w:r>
            <w:proofErr w:type="spellEnd"/>
            <w:proofErr w:type="gramEnd"/>
            <w:r>
              <w:rPr>
                <w:color w:val="000000"/>
                <w:sz w:val="18"/>
                <w:szCs w:val="18"/>
              </w:rPr>
              <w:t>), Docubase, Abel Entreprise, Monarch</w:t>
            </w:r>
            <w:r w:rsidR="00884A08">
              <w:rPr>
                <w:color w:val="000000"/>
                <w:sz w:val="18"/>
                <w:szCs w:val="18"/>
              </w:rPr>
              <w:t>, Intelligence Artificielle</w:t>
            </w:r>
          </w:p>
        </w:tc>
      </w:tr>
      <w:tr w:rsidR="00AC2FAA" w14:paraId="4D632FB4" w14:textId="77777777" w:rsidTr="00C85BE3">
        <w:trPr>
          <w:trHeight w:val="219"/>
        </w:trPr>
        <w:tc>
          <w:tcPr>
            <w:tcW w:w="2410" w:type="dxa"/>
            <w:tcMar>
              <w:top w:w="50" w:type="dxa"/>
              <w:left w:w="0" w:type="dxa"/>
              <w:bottom w:w="50" w:type="dxa"/>
              <w:right w:w="100" w:type="dxa"/>
            </w:tcMar>
            <w:vAlign w:val="center"/>
          </w:tcPr>
          <w:p w14:paraId="1F8E43FD" w14:textId="77777777" w:rsidR="00AC2FAA" w:rsidRDefault="00066E4B">
            <w:r>
              <w:rPr>
                <w:b/>
                <w:bCs/>
                <w:color w:val="5A6A7A"/>
                <w:sz w:val="18"/>
                <w:szCs w:val="18"/>
              </w:rPr>
              <w:t>Conformité</w:t>
            </w:r>
          </w:p>
        </w:tc>
        <w:tc>
          <w:tcPr>
            <w:tcW w:w="7879" w:type="dxa"/>
            <w:tcMar>
              <w:top w:w="50" w:type="dxa"/>
              <w:left w:w="100" w:type="dxa"/>
              <w:bottom w:w="50" w:type="dxa"/>
              <w:right w:w="0" w:type="dxa"/>
            </w:tcMar>
            <w:vAlign w:val="center"/>
          </w:tcPr>
          <w:p w14:paraId="2FD30492" w14:textId="77777777" w:rsidR="00AC2FAA" w:rsidRDefault="00066E4B">
            <w:r>
              <w:rPr>
                <w:color w:val="000000"/>
                <w:sz w:val="18"/>
                <w:szCs w:val="18"/>
              </w:rPr>
              <w:t>KYC / AML / Due Diligence, normes BCEAO, UEMOA, BNP Paribas Group</w:t>
            </w:r>
          </w:p>
        </w:tc>
      </w:tr>
      <w:tr w:rsidR="00AC2FAA" w14:paraId="2977603A" w14:textId="77777777" w:rsidTr="00C85BE3">
        <w:trPr>
          <w:trHeight w:val="387"/>
        </w:trPr>
        <w:tc>
          <w:tcPr>
            <w:tcW w:w="2410" w:type="dxa"/>
            <w:tcMar>
              <w:top w:w="50" w:type="dxa"/>
              <w:left w:w="0" w:type="dxa"/>
              <w:bottom w:w="50" w:type="dxa"/>
              <w:right w:w="100" w:type="dxa"/>
            </w:tcMar>
            <w:vAlign w:val="center"/>
          </w:tcPr>
          <w:p w14:paraId="7129DDFC" w14:textId="77777777" w:rsidR="00AC2FAA" w:rsidRDefault="00066E4B">
            <w:r>
              <w:rPr>
                <w:b/>
                <w:bCs/>
                <w:color w:val="5A6A7A"/>
                <w:sz w:val="18"/>
                <w:szCs w:val="18"/>
              </w:rPr>
              <w:t>Gestion de projet</w:t>
            </w:r>
          </w:p>
        </w:tc>
        <w:tc>
          <w:tcPr>
            <w:tcW w:w="7879" w:type="dxa"/>
            <w:tcMar>
              <w:top w:w="50" w:type="dxa"/>
              <w:left w:w="100" w:type="dxa"/>
              <w:bottom w:w="50" w:type="dxa"/>
              <w:right w:w="0" w:type="dxa"/>
            </w:tcMar>
            <w:vAlign w:val="center"/>
          </w:tcPr>
          <w:p w14:paraId="6E360554" w14:textId="77777777" w:rsidR="00AC2FAA" w:rsidRDefault="00066E4B">
            <w:r>
              <w:rPr>
                <w:color w:val="000000"/>
                <w:sz w:val="18"/>
                <w:szCs w:val="18"/>
              </w:rPr>
              <w:t>PMO, planification stratégique, suivi budgétaire</w:t>
            </w:r>
          </w:p>
        </w:tc>
      </w:tr>
    </w:tbl>
    <w:p w14:paraId="63B35C85" w14:textId="77777777" w:rsidR="00AC2FAA" w:rsidRDefault="00AC2FAA">
      <w:pPr>
        <w:spacing w:before="200"/>
      </w:pPr>
    </w:p>
    <w:p w14:paraId="72F15725" w14:textId="77777777" w:rsidR="00AC2FAA" w:rsidRDefault="00066E4B" w:rsidP="005C7948">
      <w:pPr>
        <w:pBdr>
          <w:bottom w:val="single" w:sz="8" w:space="0" w:color="2E75B6"/>
        </w:pBdr>
        <w:shd w:val="clear" w:color="auto" w:fill="CAEDFB" w:themeFill="accent4" w:themeFillTint="33"/>
        <w:spacing w:before="260" w:after="80"/>
      </w:pPr>
      <w:r>
        <w:rPr>
          <w:b/>
          <w:bCs/>
          <w:color w:val="1F3864"/>
          <w:sz w:val="22"/>
          <w:szCs w:val="22"/>
        </w:rPr>
        <w:t>LANGUES</w:t>
      </w:r>
    </w:p>
    <w:p w14:paraId="2FA917CF" w14:textId="77777777" w:rsidR="00AC2FAA" w:rsidRDefault="00AC2FAA">
      <w:pPr>
        <w:spacing w:before="80"/>
      </w:pPr>
    </w:p>
    <w:tbl>
      <w:tblPr>
        <w:tblW w:w="9026"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AC2FAA" w14:paraId="61EB4690" w14:textId="77777777">
        <w:tc>
          <w:tcPr>
            <w:tcW w:w="1800" w:type="dxa"/>
            <w:tcMar>
              <w:top w:w="50" w:type="dxa"/>
              <w:left w:w="0" w:type="dxa"/>
              <w:bottom w:w="50" w:type="dxa"/>
              <w:right w:w="100" w:type="dxa"/>
            </w:tcMar>
          </w:tcPr>
          <w:p w14:paraId="0503334C" w14:textId="77777777" w:rsidR="00AC2FAA" w:rsidRDefault="00066E4B">
            <w:r>
              <w:rPr>
                <w:b/>
                <w:bCs/>
                <w:color w:val="5A6A7A"/>
                <w:sz w:val="18"/>
                <w:szCs w:val="18"/>
              </w:rPr>
              <w:t>Français</w:t>
            </w:r>
          </w:p>
        </w:tc>
        <w:tc>
          <w:tcPr>
            <w:tcW w:w="7226" w:type="dxa"/>
            <w:tcMar>
              <w:top w:w="50" w:type="dxa"/>
              <w:left w:w="100" w:type="dxa"/>
              <w:bottom w:w="50" w:type="dxa"/>
              <w:right w:w="0" w:type="dxa"/>
            </w:tcMar>
          </w:tcPr>
          <w:p w14:paraId="66D3AEF1" w14:textId="77777777" w:rsidR="00AC2FAA" w:rsidRDefault="00066E4B">
            <w:r>
              <w:rPr>
                <w:color w:val="000000"/>
                <w:sz w:val="18"/>
                <w:szCs w:val="18"/>
              </w:rPr>
              <w:t>Langue maternelle – Expression écrite et orale excellente</w:t>
            </w:r>
          </w:p>
        </w:tc>
      </w:tr>
      <w:tr w:rsidR="00AC2FAA" w14:paraId="68D082AE" w14:textId="77777777">
        <w:tc>
          <w:tcPr>
            <w:tcW w:w="1800" w:type="dxa"/>
            <w:tcMar>
              <w:top w:w="50" w:type="dxa"/>
              <w:left w:w="0" w:type="dxa"/>
              <w:bottom w:w="50" w:type="dxa"/>
              <w:right w:w="100" w:type="dxa"/>
            </w:tcMar>
          </w:tcPr>
          <w:p w14:paraId="19FEFB8D" w14:textId="77777777" w:rsidR="00AC2FAA" w:rsidRDefault="00066E4B">
            <w:r>
              <w:rPr>
                <w:b/>
                <w:bCs/>
                <w:color w:val="5A6A7A"/>
                <w:sz w:val="18"/>
                <w:szCs w:val="18"/>
              </w:rPr>
              <w:t>Anglais</w:t>
            </w:r>
          </w:p>
        </w:tc>
        <w:tc>
          <w:tcPr>
            <w:tcW w:w="7226" w:type="dxa"/>
            <w:tcMar>
              <w:top w:w="50" w:type="dxa"/>
              <w:left w:w="100" w:type="dxa"/>
              <w:bottom w:w="50" w:type="dxa"/>
              <w:right w:w="0" w:type="dxa"/>
            </w:tcMar>
          </w:tcPr>
          <w:p w14:paraId="6604FFA6" w14:textId="77777777" w:rsidR="00AC2FAA" w:rsidRDefault="00066E4B">
            <w:r>
              <w:rPr>
                <w:color w:val="000000"/>
                <w:sz w:val="18"/>
                <w:szCs w:val="18"/>
              </w:rPr>
              <w:t>Courant – Lu, écrit et parlé (rapports, correspondances internationales)</w:t>
            </w:r>
          </w:p>
        </w:tc>
      </w:tr>
      <w:tr w:rsidR="00AC2FAA" w14:paraId="20DBEAE9" w14:textId="77777777" w:rsidTr="00884A08">
        <w:trPr>
          <w:trHeight w:val="400"/>
        </w:trPr>
        <w:tc>
          <w:tcPr>
            <w:tcW w:w="1800" w:type="dxa"/>
            <w:tcMar>
              <w:top w:w="50" w:type="dxa"/>
              <w:left w:w="0" w:type="dxa"/>
              <w:bottom w:w="50" w:type="dxa"/>
              <w:right w:w="100" w:type="dxa"/>
            </w:tcMar>
          </w:tcPr>
          <w:p w14:paraId="22324553" w14:textId="77777777" w:rsidR="00AC2FAA" w:rsidRDefault="00066E4B">
            <w:r>
              <w:rPr>
                <w:b/>
                <w:bCs/>
                <w:color w:val="5A6A7A"/>
                <w:sz w:val="18"/>
                <w:szCs w:val="18"/>
              </w:rPr>
              <w:t>Bambara / Gouin</w:t>
            </w:r>
          </w:p>
        </w:tc>
        <w:tc>
          <w:tcPr>
            <w:tcW w:w="7226" w:type="dxa"/>
            <w:tcMar>
              <w:top w:w="50" w:type="dxa"/>
              <w:left w:w="100" w:type="dxa"/>
              <w:bottom w:w="50" w:type="dxa"/>
              <w:right w:w="0" w:type="dxa"/>
            </w:tcMar>
          </w:tcPr>
          <w:p w14:paraId="7D9A3B25" w14:textId="77777777" w:rsidR="00AC2FAA" w:rsidRDefault="00066E4B">
            <w:r>
              <w:rPr>
                <w:color w:val="000000"/>
                <w:sz w:val="18"/>
                <w:szCs w:val="18"/>
              </w:rPr>
              <w:t>Langues locales – Communication terrain en Afrique de l'Ouest</w:t>
            </w:r>
          </w:p>
        </w:tc>
      </w:tr>
    </w:tbl>
    <w:p w14:paraId="2FCFB8D9" w14:textId="77777777" w:rsidR="00AC2FAA" w:rsidRDefault="00AC2FAA">
      <w:pPr>
        <w:pBdr>
          <w:bottom w:val="single" w:sz="2" w:space="0" w:color="DDDDDD"/>
        </w:pBdr>
        <w:spacing w:before="60" w:after="60"/>
      </w:pPr>
    </w:p>
    <w:p w14:paraId="00A4EC8F" w14:textId="77777777" w:rsidR="00884A08" w:rsidRDefault="00884A08">
      <w:pPr>
        <w:pBdr>
          <w:bottom w:val="single" w:sz="2" w:space="0" w:color="DDDDDD"/>
        </w:pBdr>
        <w:spacing w:before="60" w:after="60"/>
      </w:pPr>
    </w:p>
    <w:p w14:paraId="4EF32C41" w14:textId="77777777" w:rsidR="00AC2FAA" w:rsidRDefault="00066E4B">
      <w:pPr>
        <w:spacing w:before="100"/>
        <w:jc w:val="center"/>
      </w:pPr>
      <w:r>
        <w:rPr>
          <w:i/>
          <w:iCs/>
          <w:color w:val="5A6A7A"/>
          <w:sz w:val="17"/>
          <w:szCs w:val="17"/>
        </w:rPr>
        <w:t>Je certifie que les informations contenues dans ce curriculum vitae sont exactes et fidèles à ma situation, mes qualifications et mon expérience professionnelle.</w:t>
      </w:r>
    </w:p>
    <w:p w14:paraId="61F5A821" w14:textId="74B97D52" w:rsidR="00AC2FAA" w:rsidRDefault="00066E4B">
      <w:pPr>
        <w:spacing w:before="60"/>
        <w:jc w:val="center"/>
      </w:pPr>
      <w:r>
        <w:rPr>
          <w:color w:val="5A6A7A"/>
          <w:sz w:val="17"/>
          <w:szCs w:val="17"/>
        </w:rPr>
        <w:t>Ouagadougou, le 1</w:t>
      </w:r>
      <w:r w:rsidR="00884A08">
        <w:rPr>
          <w:color w:val="5A6A7A"/>
          <w:sz w:val="17"/>
          <w:szCs w:val="17"/>
        </w:rPr>
        <w:t>0</w:t>
      </w:r>
      <w:r>
        <w:rPr>
          <w:color w:val="5A6A7A"/>
          <w:sz w:val="17"/>
          <w:szCs w:val="17"/>
        </w:rPr>
        <w:t xml:space="preserve"> </w:t>
      </w:r>
      <w:proofErr w:type="gramStart"/>
      <w:r w:rsidR="00884A08">
        <w:rPr>
          <w:color w:val="5A6A7A"/>
          <w:sz w:val="17"/>
          <w:szCs w:val="17"/>
        </w:rPr>
        <w:t>Mars</w:t>
      </w:r>
      <w:proofErr w:type="gramEnd"/>
      <w:r>
        <w:rPr>
          <w:color w:val="5A6A7A"/>
          <w:sz w:val="17"/>
          <w:szCs w:val="17"/>
        </w:rPr>
        <w:t xml:space="preserve"> 2026</w:t>
      </w:r>
    </w:p>
    <w:sectPr w:rsidR="00AC2FAA" w:rsidSect="00C85BE3">
      <w:footerReference w:type="default" r:id="rId7"/>
      <w:pgSz w:w="11906" w:h="16838" w:code="9"/>
      <w:pgMar w:top="720" w:right="709" w:bottom="567" w:left="1077" w:header="62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23E4" w14:textId="77777777" w:rsidR="00066E4B" w:rsidRDefault="00066E4B" w:rsidP="00C85BE3">
      <w:r>
        <w:separator/>
      </w:r>
    </w:p>
  </w:endnote>
  <w:endnote w:type="continuationSeparator" w:id="0">
    <w:p w14:paraId="0033A869" w14:textId="77777777" w:rsidR="00066E4B" w:rsidRDefault="00066E4B" w:rsidP="00C8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36C7" w14:textId="719CAEA1" w:rsidR="00C85BE3" w:rsidRDefault="00C85BE3" w:rsidP="00C85BE3">
    <w:pPr>
      <w:pBdr>
        <w:left w:val="single" w:sz="12" w:space="11" w:color="156082" w:themeColor="accent1"/>
      </w:pBdr>
      <w:tabs>
        <w:tab w:val="left" w:pos="622"/>
      </w:tabs>
      <w:rPr>
        <w:rFonts w:asciiTheme="majorHAnsi" w:eastAsiaTheme="majorEastAsia" w:hAnsiTheme="majorHAnsi" w:cstheme="majorBidi"/>
        <w:color w:val="0F4761" w:themeColor="accent1" w:themeShade="BF"/>
        <w:sz w:val="26"/>
        <w:szCs w:val="26"/>
      </w:rPr>
    </w:pPr>
    <w:r>
      <w:rPr>
        <w:rFonts w:asciiTheme="majorHAnsi" w:eastAsiaTheme="majorEastAsia" w:hAnsiTheme="majorHAnsi" w:cstheme="majorBidi"/>
        <w:color w:val="0F4761" w:themeColor="accent1" w:themeShade="BF"/>
        <w:sz w:val="26"/>
        <w:szCs w:val="26"/>
      </w:rPr>
      <w:fldChar w:fldCharType="begin"/>
    </w:r>
    <w:r>
      <w:rPr>
        <w:rFonts w:asciiTheme="majorHAnsi" w:eastAsiaTheme="majorEastAsia" w:hAnsiTheme="majorHAnsi" w:cstheme="majorBidi"/>
        <w:color w:val="0F4761" w:themeColor="accent1" w:themeShade="BF"/>
        <w:sz w:val="26"/>
        <w:szCs w:val="26"/>
      </w:rPr>
      <w:instrText>PAGE   \* MERGEFORMAT</w:instrText>
    </w:r>
    <w:r>
      <w:rPr>
        <w:rFonts w:asciiTheme="majorHAnsi" w:eastAsiaTheme="majorEastAsia" w:hAnsiTheme="majorHAnsi" w:cstheme="majorBidi"/>
        <w:color w:val="0F4761" w:themeColor="accent1" w:themeShade="BF"/>
        <w:sz w:val="26"/>
        <w:szCs w:val="26"/>
      </w:rPr>
      <w:fldChar w:fldCharType="separate"/>
    </w:r>
    <w:r>
      <w:rPr>
        <w:rFonts w:asciiTheme="majorHAnsi" w:eastAsiaTheme="majorEastAsia" w:hAnsiTheme="majorHAnsi" w:cstheme="majorBidi"/>
        <w:color w:val="0F4761" w:themeColor="accent1" w:themeShade="BF"/>
        <w:sz w:val="26"/>
        <w:szCs w:val="26"/>
        <w:lang w:val="fr-FR"/>
      </w:rPr>
      <w:t>2</w:t>
    </w:r>
    <w:r>
      <w:rPr>
        <w:rFonts w:asciiTheme="majorHAnsi" w:eastAsiaTheme="majorEastAsia" w:hAnsiTheme="majorHAnsi" w:cstheme="majorBidi"/>
        <w:color w:val="0F4761" w:themeColor="accent1" w:themeShade="BF"/>
        <w:sz w:val="26"/>
        <w:szCs w:val="26"/>
      </w:rPr>
      <w:fldChar w:fldCharType="end"/>
    </w:r>
    <w:r>
      <w:rPr>
        <w:rFonts w:asciiTheme="majorHAnsi" w:eastAsiaTheme="majorEastAsia" w:hAnsiTheme="majorHAnsi" w:cstheme="majorBidi"/>
        <w:color w:val="0F4761" w:themeColor="accent1" w:themeShade="BF"/>
        <w:sz w:val="26"/>
        <w:szCs w:val="26"/>
      </w:rPr>
      <w:t>/3</w:t>
    </w:r>
  </w:p>
  <w:p w14:paraId="63E8A701" w14:textId="77777777" w:rsidR="00C85BE3" w:rsidRDefault="00C85BE3" w:rsidP="00C85B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D55C" w14:textId="77777777" w:rsidR="00066E4B" w:rsidRDefault="00066E4B" w:rsidP="00C85BE3">
      <w:r>
        <w:separator/>
      </w:r>
    </w:p>
  </w:footnote>
  <w:footnote w:type="continuationSeparator" w:id="0">
    <w:p w14:paraId="3F46A4DA" w14:textId="77777777" w:rsidR="00066E4B" w:rsidRDefault="00066E4B" w:rsidP="00C8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A25EE"/>
    <w:multiLevelType w:val="hybridMultilevel"/>
    <w:tmpl w:val="C770B9FE"/>
    <w:lvl w:ilvl="0" w:tplc="E662DA2E">
      <w:start w:val="1"/>
      <w:numFmt w:val="bullet"/>
      <w:lvlText w:val="▸"/>
      <w:lvlJc w:val="left"/>
      <w:pPr>
        <w:ind w:left="520" w:hanging="260"/>
      </w:pPr>
    </w:lvl>
    <w:lvl w:ilvl="1" w:tplc="B45A65B6">
      <w:numFmt w:val="decimal"/>
      <w:lvlText w:val=""/>
      <w:lvlJc w:val="left"/>
    </w:lvl>
    <w:lvl w:ilvl="2" w:tplc="649AF186">
      <w:numFmt w:val="decimal"/>
      <w:lvlText w:val=""/>
      <w:lvlJc w:val="left"/>
    </w:lvl>
    <w:lvl w:ilvl="3" w:tplc="60449604">
      <w:numFmt w:val="decimal"/>
      <w:lvlText w:val=""/>
      <w:lvlJc w:val="left"/>
    </w:lvl>
    <w:lvl w:ilvl="4" w:tplc="9F7613A8">
      <w:numFmt w:val="decimal"/>
      <w:lvlText w:val=""/>
      <w:lvlJc w:val="left"/>
    </w:lvl>
    <w:lvl w:ilvl="5" w:tplc="9558D7BA">
      <w:numFmt w:val="decimal"/>
      <w:lvlText w:val=""/>
      <w:lvlJc w:val="left"/>
    </w:lvl>
    <w:lvl w:ilvl="6" w:tplc="A502B2BE">
      <w:numFmt w:val="decimal"/>
      <w:lvlText w:val=""/>
      <w:lvlJc w:val="left"/>
    </w:lvl>
    <w:lvl w:ilvl="7" w:tplc="A7E69DBC">
      <w:numFmt w:val="decimal"/>
      <w:lvlText w:val=""/>
      <w:lvlJc w:val="left"/>
    </w:lvl>
    <w:lvl w:ilvl="8" w:tplc="B60C6808">
      <w:numFmt w:val="decimal"/>
      <w:lvlText w:val=""/>
      <w:lvlJc w:val="left"/>
    </w:lvl>
  </w:abstractNum>
  <w:abstractNum w:abstractNumId="1" w15:restartNumberingAfterBreak="0">
    <w:nsid w:val="536221AD"/>
    <w:multiLevelType w:val="hybridMultilevel"/>
    <w:tmpl w:val="2F7AAE7A"/>
    <w:lvl w:ilvl="0" w:tplc="097C346A">
      <w:start w:val="1"/>
      <w:numFmt w:val="bullet"/>
      <w:lvlText w:val="●"/>
      <w:lvlJc w:val="left"/>
      <w:pPr>
        <w:ind w:left="720" w:hanging="360"/>
      </w:pPr>
    </w:lvl>
    <w:lvl w:ilvl="1" w:tplc="25A6DD46">
      <w:start w:val="1"/>
      <w:numFmt w:val="bullet"/>
      <w:lvlText w:val="○"/>
      <w:lvlJc w:val="left"/>
      <w:pPr>
        <w:ind w:left="1440" w:hanging="360"/>
      </w:pPr>
    </w:lvl>
    <w:lvl w:ilvl="2" w:tplc="54F80766">
      <w:start w:val="1"/>
      <w:numFmt w:val="bullet"/>
      <w:lvlText w:val="■"/>
      <w:lvlJc w:val="left"/>
      <w:pPr>
        <w:ind w:left="2160" w:hanging="360"/>
      </w:pPr>
    </w:lvl>
    <w:lvl w:ilvl="3" w:tplc="2B10642A">
      <w:start w:val="1"/>
      <w:numFmt w:val="bullet"/>
      <w:lvlText w:val="●"/>
      <w:lvlJc w:val="left"/>
      <w:pPr>
        <w:ind w:left="2880" w:hanging="360"/>
      </w:pPr>
    </w:lvl>
    <w:lvl w:ilvl="4" w:tplc="F5649DD4">
      <w:start w:val="1"/>
      <w:numFmt w:val="bullet"/>
      <w:lvlText w:val="○"/>
      <w:lvlJc w:val="left"/>
      <w:pPr>
        <w:ind w:left="3600" w:hanging="360"/>
      </w:pPr>
    </w:lvl>
    <w:lvl w:ilvl="5" w:tplc="51DE3710">
      <w:start w:val="1"/>
      <w:numFmt w:val="bullet"/>
      <w:lvlText w:val="■"/>
      <w:lvlJc w:val="left"/>
      <w:pPr>
        <w:ind w:left="4320" w:hanging="360"/>
      </w:pPr>
    </w:lvl>
    <w:lvl w:ilvl="6" w:tplc="CE6489B8">
      <w:start w:val="1"/>
      <w:numFmt w:val="bullet"/>
      <w:lvlText w:val="●"/>
      <w:lvlJc w:val="left"/>
      <w:pPr>
        <w:ind w:left="5040" w:hanging="360"/>
      </w:pPr>
    </w:lvl>
    <w:lvl w:ilvl="7" w:tplc="E70EAC3E">
      <w:start w:val="1"/>
      <w:numFmt w:val="bullet"/>
      <w:lvlText w:val="●"/>
      <w:lvlJc w:val="left"/>
      <w:pPr>
        <w:ind w:left="5760" w:hanging="360"/>
      </w:pPr>
    </w:lvl>
    <w:lvl w:ilvl="8" w:tplc="3D6A6612">
      <w:start w:val="1"/>
      <w:numFmt w:val="bullet"/>
      <w:lvlText w:val="●"/>
      <w:lvlJc w:val="left"/>
      <w:pPr>
        <w:ind w:left="6480" w:hanging="360"/>
      </w:pPr>
    </w:lvl>
  </w:abstractNum>
  <w:abstractNum w:abstractNumId="2" w15:restartNumberingAfterBreak="0">
    <w:nsid w:val="5C7255BE"/>
    <w:multiLevelType w:val="hybridMultilevel"/>
    <w:tmpl w:val="1F9624CC"/>
    <w:lvl w:ilvl="0" w:tplc="1B5A8B4E">
      <w:start w:val="1"/>
      <w:numFmt w:val="bullet"/>
      <w:lvlText w:val="–"/>
      <w:lvlJc w:val="left"/>
      <w:pPr>
        <w:ind w:left="900" w:hanging="260"/>
      </w:pPr>
    </w:lvl>
    <w:lvl w:ilvl="1" w:tplc="A142CF24">
      <w:numFmt w:val="decimal"/>
      <w:lvlText w:val=""/>
      <w:lvlJc w:val="left"/>
    </w:lvl>
    <w:lvl w:ilvl="2" w:tplc="1D3CFD7E">
      <w:numFmt w:val="decimal"/>
      <w:lvlText w:val=""/>
      <w:lvlJc w:val="left"/>
    </w:lvl>
    <w:lvl w:ilvl="3" w:tplc="5C06B12C">
      <w:numFmt w:val="decimal"/>
      <w:lvlText w:val=""/>
      <w:lvlJc w:val="left"/>
    </w:lvl>
    <w:lvl w:ilvl="4" w:tplc="98381A70">
      <w:numFmt w:val="decimal"/>
      <w:lvlText w:val=""/>
      <w:lvlJc w:val="left"/>
    </w:lvl>
    <w:lvl w:ilvl="5" w:tplc="8BBE6490">
      <w:numFmt w:val="decimal"/>
      <w:lvlText w:val=""/>
      <w:lvlJc w:val="left"/>
    </w:lvl>
    <w:lvl w:ilvl="6" w:tplc="7138CEEE">
      <w:numFmt w:val="decimal"/>
      <w:lvlText w:val=""/>
      <w:lvlJc w:val="left"/>
    </w:lvl>
    <w:lvl w:ilvl="7" w:tplc="053664C6">
      <w:numFmt w:val="decimal"/>
      <w:lvlText w:val=""/>
      <w:lvlJc w:val="left"/>
    </w:lvl>
    <w:lvl w:ilvl="8" w:tplc="9B1051B8">
      <w:numFmt w:val="decimal"/>
      <w:lvlText w:val=""/>
      <w:lvlJc w:val="left"/>
    </w:lvl>
  </w:abstractNum>
  <w:num w:numId="1" w16cid:durableId="1802455830">
    <w:abstractNumId w:val="1"/>
    <w:lvlOverride w:ilvl="0">
      <w:startOverride w:val="1"/>
    </w:lvlOverride>
  </w:num>
  <w:num w:numId="2" w16cid:durableId="11581159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A"/>
    <w:rsid w:val="00066E4B"/>
    <w:rsid w:val="00071568"/>
    <w:rsid w:val="00180F2B"/>
    <w:rsid w:val="002B717F"/>
    <w:rsid w:val="005C7948"/>
    <w:rsid w:val="0061283F"/>
    <w:rsid w:val="00632BA1"/>
    <w:rsid w:val="00884A08"/>
    <w:rsid w:val="00AC2FAA"/>
    <w:rsid w:val="00C85BE3"/>
    <w:rsid w:val="00D52B24"/>
    <w:rsid w:val="00E9006F"/>
    <w:rsid w:val="00F54A51"/>
    <w:rsid w:val="00FA45C3"/>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D8E3F"/>
  <w15:docId w15:val="{9BE25604-5AF5-4762-BA26-D20D72BA8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BF" w:eastAsia="fr-BF"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C85BE3"/>
    <w:pPr>
      <w:tabs>
        <w:tab w:val="center" w:pos="4536"/>
        <w:tab w:val="right" w:pos="9072"/>
      </w:tabs>
    </w:pPr>
  </w:style>
  <w:style w:type="character" w:customStyle="1" w:styleId="En-tteCar">
    <w:name w:val="En-tête Car"/>
    <w:basedOn w:val="Policepardfaut"/>
    <w:link w:val="En-tte"/>
    <w:uiPriority w:val="99"/>
    <w:rsid w:val="00C85BE3"/>
  </w:style>
  <w:style w:type="paragraph" w:styleId="Pieddepage">
    <w:name w:val="footer"/>
    <w:basedOn w:val="Normal"/>
    <w:link w:val="PieddepageCar"/>
    <w:uiPriority w:val="99"/>
    <w:unhideWhenUsed/>
    <w:rsid w:val="00C85BE3"/>
    <w:pPr>
      <w:tabs>
        <w:tab w:val="center" w:pos="4536"/>
        <w:tab w:val="right" w:pos="9072"/>
      </w:tabs>
    </w:pPr>
  </w:style>
  <w:style w:type="character" w:customStyle="1" w:styleId="PieddepageCar">
    <w:name w:val="Pied de page Car"/>
    <w:basedOn w:val="Policepardfaut"/>
    <w:link w:val="Pieddepage"/>
    <w:uiPriority w:val="99"/>
    <w:rsid w:val="00C85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1357</Words>
  <Characters>7741</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Alain   SOULAMA [ Vista Bank Burkina ]</cp:lastModifiedBy>
  <cp:revision>4</cp:revision>
  <dcterms:created xsi:type="dcterms:W3CDTF">2026-03-12T10:22:00Z</dcterms:created>
  <dcterms:modified xsi:type="dcterms:W3CDTF">2026-03-12T18:21:00Z</dcterms:modified>
</cp:coreProperties>
</file>